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65" w:rsidRPr="00DA7C65" w:rsidRDefault="00DA7C65" w:rsidP="00DA7C65">
      <w:pPr>
        <w:jc w:val="both"/>
        <w:rPr>
          <w:rFonts w:ascii="Times New Roman" w:hAnsi="Times New Roman" w:cs="Times New Roman"/>
          <w:sz w:val="28"/>
          <w:szCs w:val="28"/>
          <w:lang w:eastAsia="ru-RU"/>
        </w:rPr>
      </w:pPr>
      <w:bookmarkStart w:id="0" w:name="_GoBack"/>
      <w:r>
        <w:rPr>
          <w:rFonts w:ascii="Times New Roman" w:hAnsi="Times New Roman" w:cs="Times New Roman"/>
          <w:noProof/>
          <w:sz w:val="28"/>
          <w:szCs w:val="28"/>
          <w:lang w:eastAsia="ru-RU"/>
        </w:rPr>
        <w:drawing>
          <wp:inline distT="0" distB="0" distL="0" distR="0">
            <wp:extent cx="5940425" cy="341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obrazhenie_viber_2020-10-16_11-06-1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418205"/>
                    </a:xfrm>
                    <a:prstGeom prst="rect">
                      <a:avLst/>
                    </a:prstGeom>
                  </pic:spPr>
                </pic:pic>
              </a:graphicData>
            </a:graphic>
          </wp:inline>
        </w:drawing>
      </w:r>
      <w:bookmarkEnd w:id="0"/>
    </w:p>
    <w:p w:rsidR="00717A9B" w:rsidRPr="00DA7C65" w:rsidRDefault="00717A9B" w:rsidP="00DA7C65">
      <w:pPr>
        <w:jc w:val="center"/>
        <w:rPr>
          <w:rFonts w:ascii="Times New Roman" w:hAnsi="Times New Roman" w:cs="Times New Roman"/>
          <w:b/>
          <w:sz w:val="28"/>
          <w:szCs w:val="28"/>
          <w:lang w:eastAsia="ru-RU"/>
        </w:rPr>
      </w:pPr>
      <w:r w:rsidRPr="00DA7C65">
        <w:rPr>
          <w:rFonts w:ascii="Times New Roman" w:hAnsi="Times New Roman" w:cs="Times New Roman"/>
          <w:b/>
          <w:sz w:val="28"/>
          <w:szCs w:val="28"/>
          <w:lang w:eastAsia="ru-RU"/>
        </w:rPr>
        <w:t>Особо охраняемые природные территории области</w:t>
      </w:r>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Начало планомерного формирования системы особо охраняемых природных территорий (далее – ООПТ) в Беларуси относится к 1983 году, когда постановлением Совета Министров БССР от 17 февраля 1983 г. № 54 утверждена первая схема рационального размещения охраняемых природных территорий по Белорусской ССР на период до 1990 года. На начало разработки данной схемы на территории республики находилось 58 особо охраняемых природных территорий общей площадью 884 532 га, что составляло около 4,3 % территории государства.</w:t>
      </w:r>
      <w:r w:rsidRPr="00DA7C65">
        <w:rPr>
          <w:rFonts w:ascii="Times New Roman" w:hAnsi="Times New Roman" w:cs="Times New Roman"/>
          <w:sz w:val="28"/>
          <w:szCs w:val="28"/>
          <w:lang w:eastAsia="ru-RU"/>
        </w:rPr>
        <w:br/>
        <w:t>Дальнейшее развитие системы ООПТ началось после принятия постановления Кабинета Министров Республики Беларусь от 13 марта 1995 г. № 132 «Об утверждении Схемы рационального размещения особо охраняемых природных территорий Республики Беларусь». На 1.01.1995 на территории Витебской области площадь ООПТ составляла 175,2 тыс. га или 4,4 % площади области.</w:t>
      </w:r>
      <w:r w:rsidRPr="00DA7C65">
        <w:rPr>
          <w:rFonts w:ascii="Times New Roman" w:hAnsi="Times New Roman" w:cs="Times New Roman"/>
          <w:sz w:val="28"/>
          <w:szCs w:val="28"/>
          <w:lang w:eastAsia="ru-RU"/>
        </w:rPr>
        <w:br/>
        <w:t xml:space="preserve">В настоящее время мероприятия по оптимизации ООПТ республиканского значения проводятся в соответствии с Национальной стратегией развития системы особо охраняемых природных территорий до 1 января 2030 г. и Схемой рационального размещения особо охраняемых природных территорий республиканского значения до 1 января 2025 г., утвержденных постановлением Совета Министров Республики Беларусь от 2.07.2014 № 649 «О развитии системы особо охраняемых природных территорий», а для ООПТ местного значения в соответствии со Схемой рационального размещения </w:t>
      </w:r>
      <w:r w:rsidRPr="00DA7C65">
        <w:rPr>
          <w:rFonts w:ascii="Times New Roman" w:hAnsi="Times New Roman" w:cs="Times New Roman"/>
          <w:sz w:val="28"/>
          <w:szCs w:val="28"/>
          <w:lang w:eastAsia="ru-RU"/>
        </w:rPr>
        <w:lastRenderedPageBreak/>
        <w:t>особо охраняемых природных территорий местного значения Витебской области на 2014 – 2023 годы, утвержденной решением Витебского областного Совета депутатов от 18.12.2013 № 309.</w:t>
      </w:r>
      <w:r w:rsidRPr="00DA7C65">
        <w:rPr>
          <w:rFonts w:ascii="Times New Roman" w:hAnsi="Times New Roman" w:cs="Times New Roman"/>
          <w:sz w:val="28"/>
          <w:szCs w:val="28"/>
          <w:lang w:eastAsia="ru-RU"/>
        </w:rPr>
        <w:br/>
        <w:t>На 01.01.2024 в сеть ООПТ по Витебской области входят: «Березинский биосферный заповедник», 2 национальных парка – «</w:t>
      </w:r>
      <w:proofErr w:type="spellStart"/>
      <w:r w:rsidRPr="00DA7C65">
        <w:rPr>
          <w:rFonts w:ascii="Times New Roman" w:hAnsi="Times New Roman" w:cs="Times New Roman"/>
          <w:sz w:val="28"/>
          <w:szCs w:val="28"/>
          <w:lang w:eastAsia="ru-RU"/>
        </w:rPr>
        <w:t>Браславские</w:t>
      </w:r>
      <w:proofErr w:type="spellEnd"/>
      <w:r w:rsidRPr="00DA7C65">
        <w:rPr>
          <w:rFonts w:ascii="Times New Roman" w:hAnsi="Times New Roman" w:cs="Times New Roman"/>
          <w:sz w:val="28"/>
          <w:szCs w:val="28"/>
          <w:lang w:eastAsia="ru-RU"/>
        </w:rPr>
        <w:t xml:space="preserve"> озера» и «</w:t>
      </w:r>
      <w:proofErr w:type="spellStart"/>
      <w:r w:rsidRPr="00DA7C65">
        <w:rPr>
          <w:rFonts w:ascii="Times New Roman" w:hAnsi="Times New Roman" w:cs="Times New Roman"/>
          <w:sz w:val="28"/>
          <w:szCs w:val="28"/>
          <w:lang w:eastAsia="ru-RU"/>
        </w:rPr>
        <w:t>Нарочанский</w:t>
      </w:r>
      <w:proofErr w:type="spellEnd"/>
      <w:r w:rsidRPr="00DA7C65">
        <w:rPr>
          <w:rFonts w:ascii="Times New Roman" w:hAnsi="Times New Roman" w:cs="Times New Roman"/>
          <w:sz w:val="28"/>
          <w:szCs w:val="28"/>
          <w:lang w:eastAsia="ru-RU"/>
        </w:rPr>
        <w:t>» (частично), 25 заказников республиканского значения, 86 памятников республиканского значения, 67 заказников и 144 памятника природы местного значения. Площадь ООПТ составляет 410,3 тыс. га или 10,2 % от площади области.</w:t>
      </w:r>
      <w:r w:rsidRPr="00DA7C65">
        <w:rPr>
          <w:rFonts w:ascii="Times New Roman" w:hAnsi="Times New Roman" w:cs="Times New Roman"/>
          <w:sz w:val="28"/>
          <w:szCs w:val="28"/>
          <w:lang w:eastAsia="ru-RU"/>
        </w:rPr>
        <w:br/>
        <w:t>Витебским облисполкомом принято решение от 1 декабря 2015 г. № 749 ”Об объявлении биосферного резервата «</w:t>
      </w:r>
      <w:proofErr w:type="spellStart"/>
      <w:r w:rsidRPr="00DA7C65">
        <w:rPr>
          <w:rFonts w:ascii="Times New Roman" w:hAnsi="Times New Roman" w:cs="Times New Roman"/>
          <w:sz w:val="28"/>
          <w:szCs w:val="28"/>
          <w:lang w:eastAsia="ru-RU"/>
        </w:rPr>
        <w:t>Освейский</w:t>
      </w:r>
      <w:proofErr w:type="spellEnd"/>
      <w:r w:rsidRPr="00DA7C65">
        <w:rPr>
          <w:rFonts w:ascii="Times New Roman" w:hAnsi="Times New Roman" w:cs="Times New Roman"/>
          <w:sz w:val="28"/>
          <w:szCs w:val="28"/>
          <w:lang w:eastAsia="ru-RU"/>
        </w:rPr>
        <w:t xml:space="preserve"> – Красный Бор» – первого биосферного резервата в республике.</w:t>
      </w:r>
      <w:r w:rsidRPr="00DA7C65">
        <w:rPr>
          <w:rFonts w:ascii="Times New Roman" w:hAnsi="Times New Roman" w:cs="Times New Roman"/>
          <w:sz w:val="28"/>
          <w:szCs w:val="28"/>
          <w:lang w:eastAsia="ru-RU"/>
        </w:rPr>
        <w:br/>
        <w:t>Березинский биосферный заповедник образован 30 января 1925 г. и является самой первой официально зарегистрированной особо охраняемой природной территорией области. Имеет статус биосферного резервата ЮНЕСКО, награжден европейским дипломом Совета Европы для особо охраняемых природных территорий.</w:t>
      </w:r>
      <w:r w:rsidRPr="00DA7C65">
        <w:rPr>
          <w:rFonts w:ascii="Times New Roman" w:hAnsi="Times New Roman" w:cs="Times New Roman"/>
          <w:sz w:val="28"/>
          <w:szCs w:val="28"/>
          <w:lang w:eastAsia="ru-RU"/>
        </w:rPr>
        <w:br/>
        <w:t>8 особо охраняемых природных территорий (Березинский биосферный заповедник, заказники республиканского значения «</w:t>
      </w:r>
      <w:proofErr w:type="spellStart"/>
      <w:r w:rsidRPr="00DA7C65">
        <w:rPr>
          <w:rFonts w:ascii="Times New Roman" w:hAnsi="Times New Roman" w:cs="Times New Roman"/>
          <w:sz w:val="28"/>
          <w:szCs w:val="28"/>
          <w:lang w:eastAsia="ru-RU"/>
        </w:rPr>
        <w:t>Освейский</w:t>
      </w:r>
      <w:proofErr w:type="spellEnd"/>
      <w:r w:rsidRPr="00DA7C65">
        <w:rPr>
          <w:rFonts w:ascii="Times New Roman" w:hAnsi="Times New Roman" w:cs="Times New Roman"/>
          <w:sz w:val="28"/>
          <w:szCs w:val="28"/>
          <w:lang w:eastAsia="ru-RU"/>
        </w:rPr>
        <w:t>», «Ельня», «</w:t>
      </w:r>
      <w:proofErr w:type="spellStart"/>
      <w:r w:rsidRPr="00DA7C65">
        <w:rPr>
          <w:rFonts w:ascii="Times New Roman" w:hAnsi="Times New Roman" w:cs="Times New Roman"/>
          <w:sz w:val="28"/>
          <w:szCs w:val="28"/>
          <w:lang w:eastAsia="ru-RU"/>
        </w:rPr>
        <w:t>Козьянский</w:t>
      </w:r>
      <w:proofErr w:type="spellEnd"/>
      <w:r w:rsidRPr="00DA7C65">
        <w:rPr>
          <w:rFonts w:ascii="Times New Roman" w:hAnsi="Times New Roman" w:cs="Times New Roman"/>
          <w:sz w:val="28"/>
          <w:szCs w:val="28"/>
          <w:lang w:eastAsia="ru-RU"/>
        </w:rPr>
        <w:t>», «</w:t>
      </w:r>
      <w:proofErr w:type="spellStart"/>
      <w:r w:rsidRPr="00DA7C65">
        <w:rPr>
          <w:rFonts w:ascii="Times New Roman" w:hAnsi="Times New Roman" w:cs="Times New Roman"/>
          <w:sz w:val="28"/>
          <w:szCs w:val="28"/>
          <w:lang w:eastAsia="ru-RU"/>
        </w:rPr>
        <w:t>Сервечь</w:t>
      </w:r>
      <w:proofErr w:type="spellEnd"/>
      <w:r w:rsidRPr="00DA7C65">
        <w:rPr>
          <w:rFonts w:ascii="Times New Roman" w:hAnsi="Times New Roman" w:cs="Times New Roman"/>
          <w:sz w:val="28"/>
          <w:szCs w:val="28"/>
          <w:lang w:eastAsia="ru-RU"/>
        </w:rPr>
        <w:t>», «</w:t>
      </w:r>
      <w:proofErr w:type="spellStart"/>
      <w:r w:rsidRPr="00DA7C65">
        <w:rPr>
          <w:rFonts w:ascii="Times New Roman" w:hAnsi="Times New Roman" w:cs="Times New Roman"/>
          <w:sz w:val="28"/>
          <w:szCs w:val="28"/>
          <w:lang w:eastAsia="ru-RU"/>
        </w:rPr>
        <w:t>Дрожбитка-Свина</w:t>
      </w:r>
      <w:proofErr w:type="spellEnd"/>
      <w:r w:rsidRPr="00DA7C65">
        <w:rPr>
          <w:rFonts w:ascii="Times New Roman" w:hAnsi="Times New Roman" w:cs="Times New Roman"/>
          <w:sz w:val="28"/>
          <w:szCs w:val="28"/>
          <w:lang w:eastAsia="ru-RU"/>
        </w:rPr>
        <w:t>» и заказники местного значения «</w:t>
      </w:r>
      <w:proofErr w:type="spellStart"/>
      <w:r w:rsidRPr="00DA7C65">
        <w:rPr>
          <w:rFonts w:ascii="Times New Roman" w:hAnsi="Times New Roman" w:cs="Times New Roman"/>
          <w:sz w:val="28"/>
          <w:szCs w:val="28"/>
          <w:lang w:eastAsia="ru-RU"/>
        </w:rPr>
        <w:t>Вилейты</w:t>
      </w:r>
      <w:proofErr w:type="spellEnd"/>
      <w:r w:rsidRPr="00DA7C65">
        <w:rPr>
          <w:rFonts w:ascii="Times New Roman" w:hAnsi="Times New Roman" w:cs="Times New Roman"/>
          <w:sz w:val="28"/>
          <w:szCs w:val="28"/>
          <w:lang w:eastAsia="ru-RU"/>
        </w:rPr>
        <w:t>» и «Голубицкая пуща») включены в список водно-болотных угодий международного значения (</w:t>
      </w:r>
      <w:proofErr w:type="spellStart"/>
      <w:r w:rsidRPr="00DA7C65">
        <w:rPr>
          <w:rFonts w:ascii="Times New Roman" w:hAnsi="Times New Roman" w:cs="Times New Roman"/>
          <w:sz w:val="28"/>
          <w:szCs w:val="28"/>
          <w:lang w:eastAsia="ru-RU"/>
        </w:rPr>
        <w:t>рамсарские</w:t>
      </w:r>
      <w:proofErr w:type="spellEnd"/>
      <w:r w:rsidRPr="00DA7C65">
        <w:rPr>
          <w:rFonts w:ascii="Times New Roman" w:hAnsi="Times New Roman" w:cs="Times New Roman"/>
          <w:sz w:val="28"/>
          <w:szCs w:val="28"/>
          <w:lang w:eastAsia="ru-RU"/>
        </w:rPr>
        <w:t xml:space="preserve"> угодья). Из 12 особо охраняемых природных территорий Республики Беларусь, определенных для включения в «Изумрудную сеть Европы», 5 находятся на территории Витебской области (Березинский биосферный заповедник, национальные парки «</w:t>
      </w:r>
      <w:proofErr w:type="spellStart"/>
      <w:r w:rsidRPr="00DA7C65">
        <w:rPr>
          <w:rFonts w:ascii="Times New Roman" w:hAnsi="Times New Roman" w:cs="Times New Roman"/>
          <w:sz w:val="28"/>
          <w:szCs w:val="28"/>
          <w:lang w:eastAsia="ru-RU"/>
        </w:rPr>
        <w:t>Браславские</w:t>
      </w:r>
      <w:proofErr w:type="spellEnd"/>
      <w:r w:rsidRPr="00DA7C65">
        <w:rPr>
          <w:rFonts w:ascii="Times New Roman" w:hAnsi="Times New Roman" w:cs="Times New Roman"/>
          <w:sz w:val="28"/>
          <w:szCs w:val="28"/>
          <w:lang w:eastAsia="ru-RU"/>
        </w:rPr>
        <w:t xml:space="preserve"> озера», «</w:t>
      </w:r>
      <w:proofErr w:type="spellStart"/>
      <w:r w:rsidRPr="00DA7C65">
        <w:rPr>
          <w:rFonts w:ascii="Times New Roman" w:hAnsi="Times New Roman" w:cs="Times New Roman"/>
          <w:sz w:val="28"/>
          <w:szCs w:val="28"/>
          <w:lang w:eastAsia="ru-RU"/>
        </w:rPr>
        <w:t>Нарочанский</w:t>
      </w:r>
      <w:proofErr w:type="spellEnd"/>
      <w:r w:rsidRPr="00DA7C65">
        <w:rPr>
          <w:rFonts w:ascii="Times New Roman" w:hAnsi="Times New Roman" w:cs="Times New Roman"/>
          <w:sz w:val="28"/>
          <w:szCs w:val="28"/>
          <w:lang w:eastAsia="ru-RU"/>
        </w:rPr>
        <w:t>», заказники «Ельня», «</w:t>
      </w:r>
      <w:proofErr w:type="spellStart"/>
      <w:r w:rsidRPr="00DA7C65">
        <w:rPr>
          <w:rFonts w:ascii="Times New Roman" w:hAnsi="Times New Roman" w:cs="Times New Roman"/>
          <w:sz w:val="28"/>
          <w:szCs w:val="28"/>
          <w:lang w:eastAsia="ru-RU"/>
        </w:rPr>
        <w:t>Освейский</w:t>
      </w:r>
      <w:proofErr w:type="spellEnd"/>
      <w:r w:rsidRPr="00DA7C65">
        <w:rPr>
          <w:rFonts w:ascii="Times New Roman" w:hAnsi="Times New Roman" w:cs="Times New Roman"/>
          <w:sz w:val="28"/>
          <w:szCs w:val="28"/>
          <w:lang w:eastAsia="ru-RU"/>
        </w:rPr>
        <w:t>»).</w:t>
      </w:r>
      <w:r w:rsidRPr="00DA7C65">
        <w:rPr>
          <w:rFonts w:ascii="Times New Roman" w:hAnsi="Times New Roman" w:cs="Times New Roman"/>
          <w:sz w:val="28"/>
          <w:szCs w:val="28"/>
          <w:lang w:eastAsia="ru-RU"/>
        </w:rPr>
        <w:br/>
        <w:t>Самыми крупными заказниками являются: «Красный Бор» (</w:t>
      </w:r>
      <w:proofErr w:type="spellStart"/>
      <w:r w:rsidRPr="00DA7C65">
        <w:rPr>
          <w:rFonts w:ascii="Times New Roman" w:hAnsi="Times New Roman" w:cs="Times New Roman"/>
          <w:sz w:val="28"/>
          <w:szCs w:val="28"/>
          <w:lang w:eastAsia="ru-RU"/>
        </w:rPr>
        <w:t>Верхнедвинский</w:t>
      </w:r>
      <w:proofErr w:type="spellEnd"/>
      <w:r w:rsidRPr="00DA7C65">
        <w:rPr>
          <w:rFonts w:ascii="Times New Roman" w:hAnsi="Times New Roman" w:cs="Times New Roman"/>
          <w:sz w:val="28"/>
          <w:szCs w:val="28"/>
          <w:lang w:eastAsia="ru-RU"/>
        </w:rPr>
        <w:t xml:space="preserve"> и </w:t>
      </w:r>
      <w:proofErr w:type="spellStart"/>
      <w:r w:rsidRPr="00DA7C65">
        <w:rPr>
          <w:rFonts w:ascii="Times New Roman" w:hAnsi="Times New Roman" w:cs="Times New Roman"/>
          <w:sz w:val="28"/>
          <w:szCs w:val="28"/>
          <w:lang w:eastAsia="ru-RU"/>
        </w:rPr>
        <w:t>Россонский</w:t>
      </w:r>
      <w:proofErr w:type="spellEnd"/>
      <w:r w:rsidRPr="00DA7C65">
        <w:rPr>
          <w:rFonts w:ascii="Times New Roman" w:hAnsi="Times New Roman" w:cs="Times New Roman"/>
          <w:sz w:val="28"/>
          <w:szCs w:val="28"/>
          <w:lang w:eastAsia="ru-RU"/>
        </w:rPr>
        <w:t xml:space="preserve"> районы), площадью 35 023,3 га, «</w:t>
      </w:r>
      <w:proofErr w:type="spellStart"/>
      <w:r w:rsidRPr="00DA7C65">
        <w:rPr>
          <w:rFonts w:ascii="Times New Roman" w:hAnsi="Times New Roman" w:cs="Times New Roman"/>
          <w:sz w:val="28"/>
          <w:szCs w:val="28"/>
          <w:lang w:eastAsia="ru-RU"/>
        </w:rPr>
        <w:t>Козьянский</w:t>
      </w:r>
      <w:proofErr w:type="spellEnd"/>
      <w:r w:rsidRPr="00DA7C65">
        <w:rPr>
          <w:rFonts w:ascii="Times New Roman" w:hAnsi="Times New Roman" w:cs="Times New Roman"/>
          <w:sz w:val="28"/>
          <w:szCs w:val="28"/>
          <w:lang w:eastAsia="ru-RU"/>
        </w:rPr>
        <w:t xml:space="preserve">» (Полоцкий и </w:t>
      </w:r>
      <w:proofErr w:type="spellStart"/>
      <w:r w:rsidRPr="00DA7C65">
        <w:rPr>
          <w:rFonts w:ascii="Times New Roman" w:hAnsi="Times New Roman" w:cs="Times New Roman"/>
          <w:sz w:val="28"/>
          <w:szCs w:val="28"/>
          <w:lang w:eastAsia="ru-RU"/>
        </w:rPr>
        <w:t>Шумилинский</w:t>
      </w:r>
      <w:proofErr w:type="spellEnd"/>
      <w:r w:rsidRPr="00DA7C65">
        <w:rPr>
          <w:rFonts w:ascii="Times New Roman" w:hAnsi="Times New Roman" w:cs="Times New Roman"/>
          <w:sz w:val="28"/>
          <w:szCs w:val="28"/>
          <w:lang w:eastAsia="ru-RU"/>
        </w:rPr>
        <w:t xml:space="preserve"> районы), площадью 26 060 га, «</w:t>
      </w:r>
      <w:proofErr w:type="spellStart"/>
      <w:r w:rsidRPr="00DA7C65">
        <w:rPr>
          <w:rFonts w:ascii="Times New Roman" w:hAnsi="Times New Roman" w:cs="Times New Roman"/>
          <w:sz w:val="28"/>
          <w:szCs w:val="28"/>
          <w:lang w:eastAsia="ru-RU"/>
        </w:rPr>
        <w:t>Освейский</w:t>
      </w:r>
      <w:proofErr w:type="spellEnd"/>
      <w:r w:rsidRPr="00DA7C65">
        <w:rPr>
          <w:rFonts w:ascii="Times New Roman" w:hAnsi="Times New Roman" w:cs="Times New Roman"/>
          <w:sz w:val="28"/>
          <w:szCs w:val="28"/>
          <w:lang w:eastAsia="ru-RU"/>
        </w:rPr>
        <w:t>» (</w:t>
      </w:r>
      <w:proofErr w:type="spellStart"/>
      <w:r w:rsidRPr="00DA7C65">
        <w:rPr>
          <w:rFonts w:ascii="Times New Roman" w:hAnsi="Times New Roman" w:cs="Times New Roman"/>
          <w:sz w:val="28"/>
          <w:szCs w:val="28"/>
          <w:lang w:eastAsia="ru-RU"/>
        </w:rPr>
        <w:t>Верхнедвинский</w:t>
      </w:r>
      <w:proofErr w:type="spellEnd"/>
      <w:r w:rsidRPr="00DA7C65">
        <w:rPr>
          <w:rFonts w:ascii="Times New Roman" w:hAnsi="Times New Roman" w:cs="Times New Roman"/>
          <w:sz w:val="28"/>
          <w:szCs w:val="28"/>
          <w:lang w:eastAsia="ru-RU"/>
        </w:rPr>
        <w:t xml:space="preserve"> район), площадью 30 567,38 га, «Ельня» (</w:t>
      </w:r>
      <w:proofErr w:type="spellStart"/>
      <w:r w:rsidRPr="00DA7C65">
        <w:rPr>
          <w:rFonts w:ascii="Times New Roman" w:hAnsi="Times New Roman" w:cs="Times New Roman"/>
          <w:sz w:val="28"/>
          <w:szCs w:val="28"/>
          <w:lang w:eastAsia="ru-RU"/>
        </w:rPr>
        <w:t>Миорский</w:t>
      </w:r>
      <w:proofErr w:type="spellEnd"/>
      <w:r w:rsidRPr="00DA7C65">
        <w:rPr>
          <w:rFonts w:ascii="Times New Roman" w:hAnsi="Times New Roman" w:cs="Times New Roman"/>
          <w:sz w:val="28"/>
          <w:szCs w:val="28"/>
          <w:lang w:eastAsia="ru-RU"/>
        </w:rPr>
        <w:t xml:space="preserve"> район), площадью 25 301 га.</w:t>
      </w:r>
      <w:r w:rsidRPr="00DA7C65">
        <w:rPr>
          <w:rFonts w:ascii="Times New Roman" w:hAnsi="Times New Roman" w:cs="Times New Roman"/>
          <w:sz w:val="28"/>
          <w:szCs w:val="28"/>
          <w:lang w:eastAsia="ru-RU"/>
        </w:rPr>
        <w:br/>
        <w:t xml:space="preserve">По площади озеро </w:t>
      </w:r>
      <w:proofErr w:type="spellStart"/>
      <w:r w:rsidRPr="00DA7C65">
        <w:rPr>
          <w:rFonts w:ascii="Times New Roman" w:hAnsi="Times New Roman" w:cs="Times New Roman"/>
          <w:sz w:val="28"/>
          <w:szCs w:val="28"/>
          <w:lang w:eastAsia="ru-RU"/>
        </w:rPr>
        <w:t>Освейское</w:t>
      </w:r>
      <w:proofErr w:type="spellEnd"/>
      <w:r w:rsidRPr="00DA7C65">
        <w:rPr>
          <w:rFonts w:ascii="Times New Roman" w:hAnsi="Times New Roman" w:cs="Times New Roman"/>
          <w:sz w:val="28"/>
          <w:szCs w:val="28"/>
          <w:lang w:eastAsia="ru-RU"/>
        </w:rPr>
        <w:t xml:space="preserve"> (4 795 га) занимает второе место в Беларуси. Большинство глубоководных озер находятся на территории Витебской области. Самое глубокое озеро в Беларуси (53,6 м) – озеро Долгое (</w:t>
      </w:r>
      <w:proofErr w:type="spellStart"/>
      <w:r w:rsidRPr="00DA7C65">
        <w:rPr>
          <w:rFonts w:ascii="Times New Roman" w:hAnsi="Times New Roman" w:cs="Times New Roman"/>
          <w:sz w:val="28"/>
          <w:szCs w:val="28"/>
          <w:lang w:eastAsia="ru-RU"/>
        </w:rPr>
        <w:t>Глубокский</w:t>
      </w:r>
      <w:proofErr w:type="spellEnd"/>
      <w:r w:rsidRPr="00DA7C65">
        <w:rPr>
          <w:rFonts w:ascii="Times New Roman" w:hAnsi="Times New Roman" w:cs="Times New Roman"/>
          <w:sz w:val="28"/>
          <w:szCs w:val="28"/>
          <w:lang w:eastAsia="ru-RU"/>
        </w:rPr>
        <w:t xml:space="preserve"> район). В заказниках «Ричи» (</w:t>
      </w:r>
      <w:proofErr w:type="spellStart"/>
      <w:r w:rsidRPr="00DA7C65">
        <w:rPr>
          <w:rFonts w:ascii="Times New Roman" w:hAnsi="Times New Roman" w:cs="Times New Roman"/>
          <w:sz w:val="28"/>
          <w:szCs w:val="28"/>
          <w:lang w:eastAsia="ru-RU"/>
        </w:rPr>
        <w:t>Браславский</w:t>
      </w:r>
      <w:proofErr w:type="spellEnd"/>
      <w:r w:rsidRPr="00DA7C65">
        <w:rPr>
          <w:rFonts w:ascii="Times New Roman" w:hAnsi="Times New Roman" w:cs="Times New Roman"/>
          <w:sz w:val="28"/>
          <w:szCs w:val="28"/>
          <w:lang w:eastAsia="ru-RU"/>
        </w:rPr>
        <w:t xml:space="preserve"> район) и «</w:t>
      </w:r>
      <w:proofErr w:type="spellStart"/>
      <w:r w:rsidRPr="00DA7C65">
        <w:rPr>
          <w:rFonts w:ascii="Times New Roman" w:hAnsi="Times New Roman" w:cs="Times New Roman"/>
          <w:sz w:val="28"/>
          <w:szCs w:val="28"/>
          <w:lang w:eastAsia="ru-RU"/>
        </w:rPr>
        <w:t>Гиньково</w:t>
      </w:r>
      <w:proofErr w:type="spellEnd"/>
      <w:r w:rsidRPr="00DA7C65">
        <w:rPr>
          <w:rFonts w:ascii="Times New Roman" w:hAnsi="Times New Roman" w:cs="Times New Roman"/>
          <w:sz w:val="28"/>
          <w:szCs w:val="28"/>
          <w:lang w:eastAsia="ru-RU"/>
        </w:rPr>
        <w:t>» (</w:t>
      </w:r>
      <w:proofErr w:type="spellStart"/>
      <w:r w:rsidRPr="00DA7C65">
        <w:rPr>
          <w:rFonts w:ascii="Times New Roman" w:hAnsi="Times New Roman" w:cs="Times New Roman"/>
          <w:sz w:val="28"/>
          <w:szCs w:val="28"/>
          <w:lang w:eastAsia="ru-RU"/>
        </w:rPr>
        <w:t>Глубокский</w:t>
      </w:r>
      <w:proofErr w:type="spellEnd"/>
      <w:r w:rsidRPr="00DA7C65">
        <w:rPr>
          <w:rFonts w:ascii="Times New Roman" w:hAnsi="Times New Roman" w:cs="Times New Roman"/>
          <w:sz w:val="28"/>
          <w:szCs w:val="28"/>
          <w:lang w:eastAsia="ru-RU"/>
        </w:rPr>
        <w:t xml:space="preserve"> район) глубина озер составляет 51,9 м и 43,3 м соответственно.</w:t>
      </w:r>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lastRenderedPageBreak/>
        <w:t>Для управления особо охраняемыми природными территориями созданы семь государственных природоохранных учреждений: </w:t>
      </w:r>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1. </w:t>
      </w:r>
      <w:hyperlink r:id="rId5" w:history="1">
        <w:r w:rsidRPr="00DA7C65">
          <w:rPr>
            <w:rFonts w:ascii="Times New Roman" w:hAnsi="Times New Roman" w:cs="Times New Roman"/>
            <w:color w:val="3BB375"/>
            <w:sz w:val="28"/>
            <w:szCs w:val="28"/>
            <w:lang w:eastAsia="ru-RU"/>
          </w:rPr>
          <w:t>ГПУ «Браслав-Ричи»</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2. </w:t>
      </w:r>
      <w:hyperlink r:id="rId6" w:history="1">
        <w:r w:rsidRPr="00DA7C65">
          <w:rPr>
            <w:rFonts w:ascii="Times New Roman" w:hAnsi="Times New Roman" w:cs="Times New Roman"/>
            <w:color w:val="3BB375"/>
            <w:sz w:val="28"/>
            <w:szCs w:val="28"/>
            <w:lang w:eastAsia="ru-RU"/>
          </w:rPr>
          <w:t>ГПУ «Заказник республиканского значения «</w:t>
        </w:r>
        <w:proofErr w:type="spellStart"/>
        <w:r w:rsidRPr="00DA7C65">
          <w:rPr>
            <w:rFonts w:ascii="Times New Roman" w:hAnsi="Times New Roman" w:cs="Times New Roman"/>
            <w:color w:val="3BB375"/>
            <w:sz w:val="28"/>
            <w:szCs w:val="28"/>
            <w:lang w:eastAsia="ru-RU"/>
          </w:rPr>
          <w:t>Освейский</w:t>
        </w:r>
        <w:proofErr w:type="spellEnd"/>
        <w:r w:rsidRPr="00DA7C65">
          <w:rPr>
            <w:rFonts w:ascii="Times New Roman" w:hAnsi="Times New Roman" w:cs="Times New Roman"/>
            <w:color w:val="3BB375"/>
            <w:sz w:val="28"/>
            <w:szCs w:val="28"/>
            <w:lang w:eastAsia="ru-RU"/>
          </w:rPr>
          <w:t>»</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3. </w:t>
      </w:r>
      <w:hyperlink r:id="rId7" w:history="1">
        <w:r w:rsidRPr="00DA7C65">
          <w:rPr>
            <w:rFonts w:ascii="Times New Roman" w:hAnsi="Times New Roman" w:cs="Times New Roman"/>
            <w:color w:val="3BB375"/>
            <w:sz w:val="28"/>
            <w:szCs w:val="28"/>
            <w:lang w:eastAsia="ru-RU"/>
          </w:rPr>
          <w:t>ГПУ «Ельня»</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4. </w:t>
      </w:r>
      <w:hyperlink r:id="rId8" w:history="1">
        <w:r w:rsidRPr="00DA7C65">
          <w:rPr>
            <w:rFonts w:ascii="Times New Roman" w:hAnsi="Times New Roman" w:cs="Times New Roman"/>
            <w:color w:val="3BB375"/>
            <w:sz w:val="28"/>
            <w:szCs w:val="28"/>
            <w:lang w:eastAsia="ru-RU"/>
          </w:rPr>
          <w:t>ГПУ «ЭКО-РОСЫ»</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5. </w:t>
      </w:r>
      <w:hyperlink r:id="rId9" w:history="1">
        <w:r w:rsidRPr="00DA7C65">
          <w:rPr>
            <w:rFonts w:ascii="Times New Roman" w:hAnsi="Times New Roman" w:cs="Times New Roman"/>
            <w:color w:val="3BB375"/>
            <w:sz w:val="28"/>
            <w:szCs w:val="28"/>
            <w:lang w:eastAsia="ru-RU"/>
          </w:rPr>
          <w:t>ГПУ «</w:t>
        </w:r>
        <w:proofErr w:type="spellStart"/>
        <w:r w:rsidRPr="00DA7C65">
          <w:rPr>
            <w:rFonts w:ascii="Times New Roman" w:hAnsi="Times New Roman" w:cs="Times New Roman"/>
            <w:color w:val="3BB375"/>
            <w:sz w:val="28"/>
            <w:szCs w:val="28"/>
            <w:lang w:eastAsia="ru-RU"/>
          </w:rPr>
          <w:t>Корытинский</w:t>
        </w:r>
        <w:proofErr w:type="spellEnd"/>
        <w:r w:rsidRPr="00DA7C65">
          <w:rPr>
            <w:rFonts w:ascii="Times New Roman" w:hAnsi="Times New Roman" w:cs="Times New Roman"/>
            <w:color w:val="3BB375"/>
            <w:sz w:val="28"/>
            <w:szCs w:val="28"/>
            <w:lang w:eastAsia="ru-RU"/>
          </w:rPr>
          <w:t xml:space="preserve"> мох»</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6. </w:t>
      </w:r>
      <w:hyperlink r:id="rId10" w:history="1">
        <w:r w:rsidRPr="00DA7C65">
          <w:rPr>
            <w:rFonts w:ascii="Times New Roman" w:hAnsi="Times New Roman" w:cs="Times New Roman"/>
            <w:color w:val="3BB375"/>
            <w:sz w:val="28"/>
            <w:szCs w:val="28"/>
            <w:lang w:eastAsia="ru-RU"/>
          </w:rPr>
          <w:t>ГПУ «</w:t>
        </w:r>
        <w:proofErr w:type="spellStart"/>
        <w:r w:rsidRPr="00DA7C65">
          <w:rPr>
            <w:rFonts w:ascii="Times New Roman" w:hAnsi="Times New Roman" w:cs="Times New Roman"/>
            <w:color w:val="3BB375"/>
            <w:sz w:val="28"/>
            <w:szCs w:val="28"/>
            <w:lang w:eastAsia="ru-RU"/>
          </w:rPr>
          <w:t>Козьянский</w:t>
        </w:r>
        <w:proofErr w:type="spellEnd"/>
        <w:r w:rsidRPr="00DA7C65">
          <w:rPr>
            <w:rFonts w:ascii="Times New Roman" w:hAnsi="Times New Roman" w:cs="Times New Roman"/>
            <w:color w:val="3BB375"/>
            <w:sz w:val="28"/>
            <w:szCs w:val="28"/>
            <w:lang w:eastAsia="ru-RU"/>
          </w:rPr>
          <w:t>»</w:t>
        </w:r>
      </w:hyperlink>
    </w:p>
    <w:p w:rsidR="00717A9B" w:rsidRPr="00DA7C65" w:rsidRDefault="00717A9B" w:rsidP="00DA7C65">
      <w:pPr>
        <w:jc w:val="both"/>
        <w:rPr>
          <w:rFonts w:ascii="Times New Roman" w:hAnsi="Times New Roman" w:cs="Times New Roman"/>
          <w:sz w:val="28"/>
          <w:szCs w:val="28"/>
          <w:lang w:eastAsia="ru-RU"/>
        </w:rPr>
      </w:pPr>
      <w:r w:rsidRPr="00DA7C65">
        <w:rPr>
          <w:rFonts w:ascii="Times New Roman" w:hAnsi="Times New Roman" w:cs="Times New Roman"/>
          <w:sz w:val="28"/>
          <w:szCs w:val="28"/>
          <w:lang w:eastAsia="ru-RU"/>
        </w:rPr>
        <w:t>7. </w:t>
      </w:r>
      <w:hyperlink r:id="rId11" w:history="1">
        <w:r w:rsidRPr="00DA7C65">
          <w:rPr>
            <w:rFonts w:ascii="Times New Roman" w:hAnsi="Times New Roman" w:cs="Times New Roman"/>
            <w:color w:val="3BB375"/>
            <w:sz w:val="28"/>
            <w:szCs w:val="28"/>
            <w:lang w:eastAsia="ru-RU"/>
          </w:rPr>
          <w:t>ГПУ «</w:t>
        </w:r>
        <w:proofErr w:type="spellStart"/>
        <w:r w:rsidRPr="00DA7C65">
          <w:rPr>
            <w:rFonts w:ascii="Times New Roman" w:hAnsi="Times New Roman" w:cs="Times New Roman"/>
            <w:color w:val="3BB375"/>
            <w:sz w:val="28"/>
            <w:szCs w:val="28"/>
            <w:lang w:eastAsia="ru-RU"/>
          </w:rPr>
          <w:t>Голубов</w:t>
        </w:r>
        <w:proofErr w:type="spellEnd"/>
        <w:r w:rsidRPr="00DA7C65">
          <w:rPr>
            <w:rFonts w:ascii="Times New Roman" w:hAnsi="Times New Roman" w:cs="Times New Roman"/>
            <w:color w:val="3BB375"/>
            <w:sz w:val="28"/>
            <w:szCs w:val="28"/>
            <w:lang w:eastAsia="ru-RU"/>
          </w:rPr>
          <w:t xml:space="preserve"> сад»</w:t>
        </w:r>
      </w:hyperlink>
    </w:p>
    <w:p w:rsidR="00067D78" w:rsidRPr="00DA7C65" w:rsidRDefault="00067D78" w:rsidP="00DA7C65">
      <w:pPr>
        <w:jc w:val="both"/>
        <w:rPr>
          <w:rFonts w:ascii="Times New Roman" w:hAnsi="Times New Roman" w:cs="Times New Roman"/>
          <w:sz w:val="28"/>
          <w:szCs w:val="28"/>
        </w:rPr>
      </w:pPr>
    </w:p>
    <w:sectPr w:rsidR="00067D78" w:rsidRPr="00DA7C65" w:rsidSect="0006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9B"/>
    <w:rsid w:val="00067D78"/>
    <w:rsid w:val="00717A9B"/>
    <w:rsid w:val="00DA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B41A"/>
  <w15:docId w15:val="{BB80295D-C05B-470E-83B8-4980AFD1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78"/>
  </w:style>
  <w:style w:type="paragraph" w:styleId="1">
    <w:name w:val="heading 1"/>
    <w:basedOn w:val="a"/>
    <w:link w:val="10"/>
    <w:uiPriority w:val="9"/>
    <w:qFormat/>
    <w:rsid w:val="00717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A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A9B"/>
    <w:rPr>
      <w:b/>
      <w:bCs/>
    </w:rPr>
  </w:style>
  <w:style w:type="character" w:styleId="a5">
    <w:name w:val="Hyperlink"/>
    <w:basedOn w:val="a0"/>
    <w:uiPriority w:val="99"/>
    <w:semiHidden/>
    <w:unhideWhenUsed/>
    <w:rsid w:val="00717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roda-vitebsk.gov.by/bez-rubriki/gpu-eko-ros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iroda-vitebsk.gov.by/bez-rubriki/gpu-eln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iroda-vitebsk.gov.by/bez-rubriki/gpu-zakaznik-respublikanskogo-znacheniya-osvejskij/" TargetMode="External"/><Relationship Id="rId11" Type="http://schemas.openxmlformats.org/officeDocument/2006/relationships/hyperlink" Target="http://priroda-vitebsk.gov.by/bez-rubriki/gpu-golubov-sad/" TargetMode="External"/><Relationship Id="rId5" Type="http://schemas.openxmlformats.org/officeDocument/2006/relationships/hyperlink" Target="http://priroda-vitebsk.gov.by/news/gpu-braslav-richi/" TargetMode="External"/><Relationship Id="rId10" Type="http://schemas.openxmlformats.org/officeDocument/2006/relationships/hyperlink" Target="http://priroda-vitebsk.gov.by/bez-rubriki/gpu-kozyanskij/" TargetMode="External"/><Relationship Id="rId4" Type="http://schemas.openxmlformats.org/officeDocument/2006/relationships/image" Target="media/image1.jpg"/><Relationship Id="rId9" Type="http://schemas.openxmlformats.org/officeDocument/2006/relationships/hyperlink" Target="http://priroda-vitebsk.gov.by/bez-rubriki/gpu-korytinskij-mo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2024-07-17T10:07:00Z</dcterms:created>
  <dcterms:modified xsi:type="dcterms:W3CDTF">2024-07-17T10:07:00Z</dcterms:modified>
</cp:coreProperties>
</file>