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CF1324">
        <w:rPr>
          <w:sz w:val="30"/>
          <w:szCs w:val="30"/>
          <w:lang w:val="be-BY"/>
        </w:rPr>
        <w:t xml:space="preserve"> </w:t>
      </w:r>
      <w:r w:rsidR="0071110F">
        <w:rPr>
          <w:sz w:val="30"/>
          <w:szCs w:val="30"/>
        </w:rPr>
        <w:t>4</w:t>
      </w:r>
      <w:r w:rsidR="00ED6561">
        <w:rPr>
          <w:sz w:val="30"/>
          <w:szCs w:val="30"/>
        </w:rPr>
        <w:t>-</w:t>
      </w:r>
      <w:r w:rsidR="0071110F">
        <w:rPr>
          <w:sz w:val="30"/>
          <w:szCs w:val="30"/>
        </w:rPr>
        <w:t>о</w:t>
      </w:r>
      <w:r w:rsidR="00ED6561">
        <w:rPr>
          <w:sz w:val="30"/>
          <w:szCs w:val="30"/>
        </w:rPr>
        <w:t>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9856A5">
        <w:rPr>
          <w:sz w:val="30"/>
          <w:szCs w:val="30"/>
          <w:lang w:val="be-BY"/>
        </w:rPr>
        <w:t>5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4C700D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1F19C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1F19C4">
              <w:rPr>
                <w:sz w:val="26"/>
                <w:szCs w:val="26"/>
                <w:lang w:val="be-BY" w:eastAsia="en-US"/>
              </w:rPr>
              <w:t>УП «Витебскгазстрой»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647CE7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08.10.2025</w:t>
            </w:r>
          </w:p>
        </w:tc>
      </w:tr>
      <w:tr w:rsidR="004C700D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BE0A49" w:rsidRDefault="004C700D" w:rsidP="004C700D">
            <w:pPr>
              <w:jc w:val="both"/>
              <w:rPr>
                <w:sz w:val="26"/>
                <w:szCs w:val="26"/>
                <w:lang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 xml:space="preserve">ГП «Рудаково» </w:t>
            </w:r>
            <w:r w:rsidRPr="00BE0A49">
              <w:rPr>
                <w:sz w:val="26"/>
                <w:szCs w:val="26"/>
                <w:lang w:eastAsia="en-US"/>
              </w:rPr>
              <w:t>ПУ «</w:t>
            </w:r>
            <w:proofErr w:type="spellStart"/>
            <w:r w:rsidRPr="00BE0A49">
              <w:rPr>
                <w:sz w:val="26"/>
                <w:szCs w:val="26"/>
                <w:lang w:eastAsia="en-US"/>
              </w:rPr>
              <w:t>Вымно</w:t>
            </w:r>
            <w:proofErr w:type="spellEnd"/>
            <w:r w:rsidRPr="00BE0A49">
              <w:rPr>
                <w:sz w:val="26"/>
                <w:szCs w:val="26"/>
                <w:lang w:eastAsia="en-US"/>
              </w:rPr>
              <w:t xml:space="preserve">» </w:t>
            </w:r>
          </w:p>
          <w:p w:rsidR="004C700D" w:rsidRPr="00BE0A49" w:rsidRDefault="004C700D" w:rsidP="004C700D">
            <w:pPr>
              <w:jc w:val="both"/>
              <w:rPr>
                <w:sz w:val="26"/>
                <w:szCs w:val="26"/>
                <w:lang w:eastAsia="en-US"/>
              </w:rPr>
            </w:pPr>
            <w:r w:rsidRPr="00BE0A49">
              <w:rPr>
                <w:sz w:val="26"/>
                <w:szCs w:val="26"/>
                <w:lang w:eastAsia="en-US"/>
              </w:rPr>
              <w:t>МТК «Мишутки»,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eastAsia="en-US"/>
              </w:rPr>
              <w:t>отделение «Тулово»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647CE7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15.10.2025</w:t>
            </w:r>
          </w:p>
        </w:tc>
      </w:tr>
      <w:tr w:rsidR="004C700D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BE0A49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>ООО «Пищевой комбинат «ВИНРЕАЛ»</w:t>
            </w:r>
          </w:p>
          <w:p w:rsidR="004C700D" w:rsidRPr="00334FCC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>ООО «Витбиокор»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22.10.2025</w:t>
            </w:r>
          </w:p>
        </w:tc>
      </w:tr>
      <w:tr w:rsidR="004C700D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585E9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 xml:space="preserve">ОДО «Промтара» </w:t>
            </w:r>
          </w:p>
          <w:p w:rsidR="004C700D" w:rsidRPr="00585E9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 xml:space="preserve">ООО «БелТарЭкспо» </w:t>
            </w:r>
            <w:bookmarkStart w:id="0" w:name="_GoBack"/>
            <w:bookmarkEnd w:id="0"/>
          </w:p>
          <w:p w:rsidR="004C700D" w:rsidRPr="00585E9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>УП «ПластикПак»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A158D2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29.10.2025</w:t>
            </w:r>
          </w:p>
        </w:tc>
      </w:tr>
      <w:tr w:rsidR="004C700D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585E9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>ООО «Фасадные решения»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>ООО «Витебская оконная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647CE7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05.11.2025</w:t>
            </w:r>
          </w:p>
        </w:tc>
      </w:tr>
      <w:tr w:rsidR="0071110F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A502FC" w:rsidRDefault="0071110F" w:rsidP="0071110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A502FC">
              <w:rPr>
                <w:sz w:val="26"/>
                <w:szCs w:val="26"/>
                <w:lang w:eastAsia="en-US"/>
              </w:rPr>
              <w:t>ГП «</w:t>
            </w:r>
            <w:proofErr w:type="spellStart"/>
            <w:r w:rsidRPr="00A502FC">
              <w:rPr>
                <w:sz w:val="26"/>
                <w:szCs w:val="26"/>
                <w:lang w:eastAsia="en-US"/>
              </w:rPr>
              <w:t>Рудаково</w:t>
            </w:r>
            <w:proofErr w:type="spellEnd"/>
            <w:r w:rsidRPr="00A502FC">
              <w:rPr>
                <w:sz w:val="26"/>
                <w:szCs w:val="26"/>
                <w:lang w:eastAsia="en-US"/>
              </w:rPr>
              <w:t xml:space="preserve">» </w:t>
            </w:r>
          </w:p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647CE7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12.11.2025</w:t>
            </w:r>
          </w:p>
        </w:tc>
      </w:tr>
      <w:tr w:rsidR="0071110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580A62" w:rsidRDefault="0071110F" w:rsidP="0071110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0A62">
              <w:rPr>
                <w:sz w:val="26"/>
                <w:szCs w:val="26"/>
                <w:lang w:val="be-BY" w:eastAsia="en-US"/>
              </w:rPr>
              <w:t xml:space="preserve">СУП «Липовцы» </w:t>
            </w:r>
          </w:p>
          <w:p w:rsidR="0071110F" w:rsidRPr="00163E21" w:rsidRDefault="0071110F" w:rsidP="0071110F">
            <w:pPr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647CE7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19.11.2025</w:t>
            </w:r>
          </w:p>
        </w:tc>
      </w:tr>
      <w:tr w:rsidR="0071110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514D74">
              <w:rPr>
                <w:sz w:val="26"/>
                <w:szCs w:val="26"/>
                <w:lang w:val="be-BY" w:eastAsia="en-US"/>
              </w:rPr>
              <w:t>КУП ЖКХ «ЖРЭП Витебского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647CE7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26.11.2025</w:t>
            </w:r>
          </w:p>
        </w:tc>
      </w:tr>
      <w:tr w:rsidR="0071110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044AB9" w:rsidRDefault="0071110F" w:rsidP="0071110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044AB9">
              <w:rPr>
                <w:sz w:val="26"/>
                <w:szCs w:val="26"/>
                <w:lang w:val="be-BY" w:eastAsia="en-US"/>
              </w:rPr>
              <w:t xml:space="preserve">ПК «Ольговское» </w:t>
            </w:r>
          </w:p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647CE7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03.12.2025</w:t>
            </w:r>
          </w:p>
        </w:tc>
      </w:tr>
      <w:tr w:rsidR="0071110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Pr="00580A62" w:rsidRDefault="0071110F" w:rsidP="0071110F">
            <w:pPr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ГУО</w:t>
            </w:r>
            <w:r w:rsidRPr="00580A62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Лужеснянская базовая школа Витебского района</w:t>
            </w:r>
            <w:r w:rsidRPr="00580A62">
              <w:rPr>
                <w:sz w:val="26"/>
                <w:szCs w:val="26"/>
                <w:lang w:val="be-BY" w:eastAsia="en-US"/>
              </w:rPr>
              <w:t>»</w:t>
            </w:r>
          </w:p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УО</w:t>
            </w:r>
            <w:r w:rsidRPr="00580A62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Аграрный колледж ВГАВМ</w:t>
            </w:r>
            <w:r w:rsidRPr="00580A62">
              <w:rPr>
                <w:sz w:val="26"/>
                <w:szCs w:val="26"/>
                <w:lang w:val="be-BY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17.12.2025</w:t>
            </w:r>
          </w:p>
        </w:tc>
      </w:tr>
      <w:tr w:rsidR="0071110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Default="0071110F" w:rsidP="0071110F">
            <w:pPr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ООО</w:t>
            </w:r>
            <w:r w:rsidRPr="00334FCC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БелВудСтик</w:t>
            </w:r>
            <w:r w:rsidRPr="00334FCC">
              <w:rPr>
                <w:sz w:val="26"/>
                <w:szCs w:val="26"/>
                <w:lang w:val="be-BY" w:eastAsia="en-US"/>
              </w:rPr>
              <w:t>»</w:t>
            </w:r>
          </w:p>
          <w:p w:rsidR="0071110F" w:rsidRPr="00163E21" w:rsidRDefault="0071110F" w:rsidP="0071110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ГУО</w:t>
            </w:r>
            <w:r w:rsidRPr="00B05EFF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Суйковская базовая школа Витебского района</w:t>
            </w:r>
            <w:r w:rsidRPr="00B05EFF">
              <w:rPr>
                <w:sz w:val="26"/>
                <w:szCs w:val="26"/>
                <w:lang w:val="be-BY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0F" w:rsidRDefault="0071110F" w:rsidP="0071110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24.12.2025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02452C" w:rsidRDefault="0002452C" w:rsidP="00F97C9F">
      <w:pPr>
        <w:spacing w:line="280" w:lineRule="exact"/>
        <w:rPr>
          <w:sz w:val="30"/>
          <w:szCs w:val="30"/>
          <w:lang w:val="be-BY"/>
        </w:rPr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452C"/>
    <w:rsid w:val="000763E8"/>
    <w:rsid w:val="00086D77"/>
    <w:rsid w:val="000F0461"/>
    <w:rsid w:val="0010067A"/>
    <w:rsid w:val="0010497C"/>
    <w:rsid w:val="00161A41"/>
    <w:rsid w:val="00163E78"/>
    <w:rsid w:val="001937B9"/>
    <w:rsid w:val="001A2EDB"/>
    <w:rsid w:val="001B0808"/>
    <w:rsid w:val="001C2A0C"/>
    <w:rsid w:val="00204204"/>
    <w:rsid w:val="002118DC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703EA2"/>
    <w:rsid w:val="0071110F"/>
    <w:rsid w:val="00727D5A"/>
    <w:rsid w:val="00734534"/>
    <w:rsid w:val="00752DBF"/>
    <w:rsid w:val="00766796"/>
    <w:rsid w:val="007D3E2D"/>
    <w:rsid w:val="007F09A7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56A5"/>
    <w:rsid w:val="009F0B89"/>
    <w:rsid w:val="00A0289A"/>
    <w:rsid w:val="00A031BA"/>
    <w:rsid w:val="00A07262"/>
    <w:rsid w:val="00A201B2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4</cp:revision>
  <cp:lastPrinted>2024-04-15T07:45:00Z</cp:lastPrinted>
  <dcterms:created xsi:type="dcterms:W3CDTF">2025-09-26T13:10:00Z</dcterms:created>
  <dcterms:modified xsi:type="dcterms:W3CDTF">2025-10-09T05:35:00Z</dcterms:modified>
</cp:coreProperties>
</file>