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F1" w:rsidRDefault="007C3D09">
      <w:pPr>
        <w:rPr>
          <w:rFonts w:ascii="Arial" w:hAnsi="Arial" w:cs="Arial"/>
          <w:color w:val="171717"/>
          <w:sz w:val="27"/>
          <w:szCs w:val="27"/>
        </w:rPr>
      </w:pPr>
      <w:r>
        <w:rPr>
          <w:rFonts w:ascii="Arial" w:hAnsi="Arial" w:cs="Arial"/>
          <w:b/>
          <w:color w:val="171717"/>
          <w:sz w:val="27"/>
          <w:szCs w:val="27"/>
        </w:rPr>
        <w:t xml:space="preserve">выписка из </w:t>
      </w:r>
      <w:r w:rsidR="000D6BF1" w:rsidRPr="000D6BF1">
        <w:rPr>
          <w:rFonts w:ascii="Arial" w:hAnsi="Arial" w:cs="Arial"/>
          <w:b/>
          <w:color w:val="171717"/>
          <w:sz w:val="27"/>
          <w:szCs w:val="27"/>
        </w:rPr>
        <w:t>Декрет</w:t>
      </w:r>
      <w:r>
        <w:rPr>
          <w:rFonts w:ascii="Arial" w:hAnsi="Arial" w:cs="Arial"/>
          <w:b/>
          <w:color w:val="171717"/>
          <w:sz w:val="27"/>
          <w:szCs w:val="27"/>
        </w:rPr>
        <w:t>а</w:t>
      </w:r>
      <w:r w:rsidR="000D6BF1" w:rsidRPr="000D6BF1">
        <w:rPr>
          <w:rFonts w:ascii="Arial" w:hAnsi="Arial" w:cs="Arial"/>
          <w:b/>
          <w:color w:val="171717"/>
          <w:sz w:val="27"/>
          <w:szCs w:val="27"/>
        </w:rPr>
        <w:t xml:space="preserve"> Президента Республики Беларусь 23 ноября 2017 г. № 7 г</w:t>
      </w:r>
      <w:proofErr w:type="gramStart"/>
      <w:r w:rsidR="000D6BF1" w:rsidRPr="000D6BF1">
        <w:rPr>
          <w:rFonts w:ascii="Arial" w:hAnsi="Arial" w:cs="Arial"/>
          <w:b/>
          <w:color w:val="171717"/>
          <w:sz w:val="27"/>
          <w:szCs w:val="27"/>
        </w:rPr>
        <w:t>.М</w:t>
      </w:r>
      <w:proofErr w:type="gramEnd"/>
      <w:r w:rsidR="000D6BF1" w:rsidRPr="000D6BF1">
        <w:rPr>
          <w:rFonts w:ascii="Arial" w:hAnsi="Arial" w:cs="Arial"/>
          <w:b/>
          <w:color w:val="171717"/>
          <w:sz w:val="27"/>
          <w:szCs w:val="27"/>
        </w:rPr>
        <w:t>инск О развитии предпринимательства</w:t>
      </w:r>
      <w:r w:rsidR="000D6BF1">
        <w:rPr>
          <w:rFonts w:ascii="Arial" w:hAnsi="Arial" w:cs="Arial"/>
          <w:color w:val="171717"/>
          <w:sz w:val="27"/>
          <w:szCs w:val="27"/>
        </w:rPr>
        <w:t xml:space="preserve"> </w:t>
      </w:r>
    </w:p>
    <w:p w:rsidR="000D6BF1" w:rsidRDefault="000D6BF1" w:rsidP="000D6BF1">
      <w:pPr>
        <w:rPr>
          <w:rFonts w:ascii="Arial" w:hAnsi="Arial" w:cs="Arial"/>
          <w:color w:val="171717"/>
          <w:sz w:val="27"/>
          <w:szCs w:val="27"/>
        </w:rPr>
      </w:pPr>
      <w:r>
        <w:rPr>
          <w:rFonts w:ascii="Arial" w:hAnsi="Arial" w:cs="Arial"/>
          <w:color w:val="171717"/>
          <w:sz w:val="27"/>
          <w:szCs w:val="27"/>
        </w:rPr>
        <w:t xml:space="preserve">В целях развития предпринимательской инициативы, стимулирования деловой активности и в соответствии с частью третьей статьи 101 Конституции Республики Беларусь </w:t>
      </w:r>
      <w:proofErr w:type="spellStart"/>
      <w:proofErr w:type="gramStart"/>
      <w:r>
        <w:rPr>
          <w:rFonts w:ascii="Arial" w:hAnsi="Arial" w:cs="Arial"/>
          <w:color w:val="171717"/>
          <w:sz w:val="27"/>
          <w:szCs w:val="27"/>
        </w:rPr>
        <w:t>п</w:t>
      </w:r>
      <w:proofErr w:type="spellEnd"/>
      <w:proofErr w:type="gramEnd"/>
      <w:r>
        <w:rPr>
          <w:rFonts w:ascii="Arial" w:hAnsi="Arial" w:cs="Arial"/>
          <w:color w:val="171717"/>
          <w:sz w:val="27"/>
          <w:szCs w:val="27"/>
        </w:rPr>
        <w:t xml:space="preserve"> о с т а </w:t>
      </w:r>
      <w:proofErr w:type="spellStart"/>
      <w:r>
        <w:rPr>
          <w:rFonts w:ascii="Arial" w:hAnsi="Arial" w:cs="Arial"/>
          <w:color w:val="171717"/>
          <w:sz w:val="27"/>
          <w:szCs w:val="27"/>
        </w:rPr>
        <w:t>н</w:t>
      </w:r>
      <w:proofErr w:type="spellEnd"/>
      <w:r>
        <w:rPr>
          <w:rFonts w:ascii="Arial" w:hAnsi="Arial" w:cs="Arial"/>
          <w:color w:val="171717"/>
          <w:sz w:val="27"/>
          <w:szCs w:val="27"/>
        </w:rPr>
        <w:t xml:space="preserve"> о в л я ю:</w:t>
      </w:r>
    </w:p>
    <w:p w:rsidR="000D6BF1" w:rsidRDefault="000D6BF1" w:rsidP="000D6BF1">
      <w:pPr>
        <w:rPr>
          <w:rFonts w:ascii="Arial" w:hAnsi="Arial" w:cs="Arial"/>
          <w:color w:val="171717"/>
          <w:sz w:val="27"/>
          <w:szCs w:val="27"/>
        </w:rPr>
      </w:pPr>
      <w:r>
        <w:rPr>
          <w:rFonts w:ascii="Arial" w:hAnsi="Arial" w:cs="Arial"/>
          <w:color w:val="171717"/>
          <w:sz w:val="27"/>
          <w:szCs w:val="27"/>
        </w:rPr>
        <w:t>5. Определить, что:</w:t>
      </w:r>
    </w:p>
    <w:p w:rsidR="000D6BF1" w:rsidRDefault="007C3D09" w:rsidP="007C3D09">
      <w:pPr>
        <w:jc w:val="both"/>
        <w:rPr>
          <w:rFonts w:ascii="Arial" w:hAnsi="Arial" w:cs="Arial"/>
          <w:color w:val="171717"/>
          <w:sz w:val="27"/>
          <w:szCs w:val="27"/>
        </w:rPr>
      </w:pPr>
      <w:r>
        <w:rPr>
          <w:rFonts w:ascii="Arial" w:hAnsi="Arial" w:cs="Arial"/>
          <w:color w:val="171717"/>
          <w:sz w:val="27"/>
          <w:szCs w:val="27"/>
        </w:rPr>
        <w:t xml:space="preserve">            </w:t>
      </w:r>
      <w:proofErr w:type="gramStart"/>
      <w:r w:rsidR="000D6BF1">
        <w:rPr>
          <w:rFonts w:ascii="Arial" w:hAnsi="Arial" w:cs="Arial"/>
          <w:color w:val="171717"/>
          <w:sz w:val="27"/>
          <w:szCs w:val="27"/>
        </w:rPr>
        <w:t>5.10. эксплуатирующие организации обязаны в течение трех месяцев с даты приемки в эксплуатацию объектов, завершенных строительством, но не зарегистрированных в установленном порядке в качестве объектов недвижимого имущества, объектов инженерной, транспортной и социальной инфраструктуры и их благоустройства, принять их безвозмездно в государственную собственность и обратиться за государственной регистрацией в отношении этих объектов.</w:t>
      </w:r>
      <w:proofErr w:type="gramEnd"/>
      <w:r w:rsidR="000D6BF1">
        <w:rPr>
          <w:rFonts w:ascii="Arial" w:hAnsi="Arial" w:cs="Arial"/>
          <w:color w:val="171717"/>
          <w:sz w:val="27"/>
          <w:szCs w:val="27"/>
        </w:rPr>
        <w:t xml:space="preserve"> Решение о приемке таких объектов безвозмездно в государственную собственность принимается на основании акта о передаче затрат и документов, подтверждающих завершение их строительства и соответствие проектной документации, без наличия документов, удостоверяющих государственную регистрацию их создания. Затраты, произведенные заказчиком, застройщиком, дольщиком при возведении (возмещении возведения) таких объектов, включаются в состав </w:t>
      </w:r>
      <w:proofErr w:type="spellStart"/>
      <w:r w:rsidR="000D6BF1">
        <w:rPr>
          <w:rFonts w:ascii="Arial" w:hAnsi="Arial" w:cs="Arial"/>
          <w:color w:val="171717"/>
          <w:sz w:val="27"/>
          <w:szCs w:val="27"/>
        </w:rPr>
        <w:t>внереализационных</w:t>
      </w:r>
      <w:proofErr w:type="spellEnd"/>
      <w:r w:rsidR="000D6BF1">
        <w:rPr>
          <w:rFonts w:ascii="Arial" w:hAnsi="Arial" w:cs="Arial"/>
          <w:color w:val="171717"/>
          <w:sz w:val="27"/>
          <w:szCs w:val="27"/>
        </w:rPr>
        <w:t xml:space="preserve"> расходов, учитываемых при налогообложении прибыли заказчика, застройщика, дольщика, в том числе путем переноса убытков на будущие периоды. Стоимость безвозмездно выполненных работ (оказанных услуг, переданных товаров) при реконструкции, ремонте (возмещении реконструкции, ремонта) объектов инженерной и транспортной инфраструктуры, находящихся в собственности государства, в связи с возведением объектов строительства включается заказчиками, застройщиками, дольщиками в состав </w:t>
      </w:r>
      <w:proofErr w:type="spellStart"/>
      <w:r w:rsidR="000D6BF1">
        <w:rPr>
          <w:rFonts w:ascii="Arial" w:hAnsi="Arial" w:cs="Arial"/>
          <w:color w:val="171717"/>
          <w:sz w:val="27"/>
          <w:szCs w:val="27"/>
        </w:rPr>
        <w:t>внереализационных</w:t>
      </w:r>
      <w:proofErr w:type="spellEnd"/>
      <w:r w:rsidR="000D6BF1">
        <w:rPr>
          <w:rFonts w:ascii="Arial" w:hAnsi="Arial" w:cs="Arial"/>
          <w:color w:val="171717"/>
          <w:sz w:val="27"/>
          <w:szCs w:val="27"/>
        </w:rPr>
        <w:t xml:space="preserve"> расходов. Такие расходы подлежат учету при налогообложении прибыли, в том числе путем переноса убытков на будущие периоды. Стоимость безвозмездно полученных товаров (работ, услуг) эксплуатационными организациями, у которых на праве хозяйственного ведения находятся указанные объекты, не включается в состав </w:t>
      </w:r>
      <w:proofErr w:type="spellStart"/>
      <w:r w:rsidR="000D6BF1">
        <w:rPr>
          <w:rFonts w:ascii="Arial" w:hAnsi="Arial" w:cs="Arial"/>
          <w:color w:val="171717"/>
          <w:sz w:val="27"/>
          <w:szCs w:val="27"/>
        </w:rPr>
        <w:t>внереализационных</w:t>
      </w:r>
      <w:proofErr w:type="spellEnd"/>
      <w:r w:rsidR="000D6BF1">
        <w:rPr>
          <w:rFonts w:ascii="Arial" w:hAnsi="Arial" w:cs="Arial"/>
          <w:color w:val="171717"/>
          <w:sz w:val="27"/>
          <w:szCs w:val="27"/>
        </w:rPr>
        <w:t xml:space="preserve"> доходов, учитываемых при налогообложении прибыли; </w:t>
      </w:r>
    </w:p>
    <w:p w:rsidR="000D6BF1" w:rsidRDefault="007C3D09" w:rsidP="000D6BF1">
      <w:pPr>
        <w:jc w:val="both"/>
        <w:rPr>
          <w:rFonts w:ascii="Arial" w:hAnsi="Arial" w:cs="Arial"/>
          <w:color w:val="171717"/>
          <w:sz w:val="27"/>
          <w:szCs w:val="27"/>
        </w:rPr>
      </w:pPr>
      <w:r>
        <w:rPr>
          <w:rFonts w:ascii="Arial" w:hAnsi="Arial" w:cs="Arial"/>
          <w:color w:val="171717"/>
          <w:sz w:val="27"/>
          <w:szCs w:val="27"/>
        </w:rPr>
        <w:t xml:space="preserve">          </w:t>
      </w:r>
      <w:r w:rsidR="000D6BF1">
        <w:rPr>
          <w:rFonts w:ascii="Arial" w:hAnsi="Arial" w:cs="Arial"/>
          <w:color w:val="171717"/>
          <w:sz w:val="27"/>
          <w:szCs w:val="27"/>
        </w:rPr>
        <w:t xml:space="preserve">5.11. принятие решения о возможности изменения назначения объектов недвижимого имущества без проведения строительно-монтажных работ, а также решения об изменении целевого назначения земельных участков, на которых такие объекты расположены, </w:t>
      </w:r>
      <w:r w:rsidR="000D6BF1">
        <w:rPr>
          <w:rFonts w:ascii="Arial" w:hAnsi="Arial" w:cs="Arial"/>
          <w:color w:val="171717"/>
          <w:sz w:val="27"/>
          <w:szCs w:val="27"/>
        </w:rPr>
        <w:lastRenderedPageBreak/>
        <w:t xml:space="preserve">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процедуры. При этом субъекты хозяйствования вправе обратиться за изменением назначения объектов недвижимого имущества, принадлежащих им на основании гражданско-правового договора, только при условии получения письменного согласия собственников таких объектов. Срок осуществления данной административной процедуры не должен превышать пятнадцати календарных дней </w:t>
      </w:r>
      <w:proofErr w:type="gramStart"/>
      <w:r w:rsidR="000D6BF1">
        <w:rPr>
          <w:rFonts w:ascii="Arial" w:hAnsi="Arial" w:cs="Arial"/>
          <w:color w:val="171717"/>
          <w:sz w:val="27"/>
          <w:szCs w:val="27"/>
        </w:rPr>
        <w:t>с даты подачи</w:t>
      </w:r>
      <w:proofErr w:type="gramEnd"/>
      <w:r w:rsidR="000D6BF1">
        <w:rPr>
          <w:rFonts w:ascii="Arial" w:hAnsi="Arial" w:cs="Arial"/>
          <w:color w:val="171717"/>
          <w:sz w:val="27"/>
          <w:szCs w:val="27"/>
        </w:rPr>
        <w:t xml:space="preserve"> заявления субъекта хозяйствования; </w:t>
      </w:r>
    </w:p>
    <w:p w:rsidR="00E078F6" w:rsidRDefault="007C3D09" w:rsidP="000D6BF1">
      <w:pPr>
        <w:jc w:val="both"/>
      </w:pPr>
      <w:r>
        <w:rPr>
          <w:rFonts w:ascii="Arial" w:hAnsi="Arial" w:cs="Arial"/>
          <w:color w:val="171717"/>
          <w:sz w:val="27"/>
          <w:szCs w:val="27"/>
        </w:rPr>
        <w:t xml:space="preserve">         </w:t>
      </w:r>
      <w:r w:rsidR="000D6BF1">
        <w:rPr>
          <w:rFonts w:ascii="Arial" w:hAnsi="Arial" w:cs="Arial"/>
          <w:color w:val="171717"/>
          <w:sz w:val="27"/>
          <w:szCs w:val="27"/>
        </w:rPr>
        <w:t>5.12. субъекты хозяйствования вправе использовать для размещения производственных, торговых объектов, объектов общественного питания, объектов бытового обслуживания, офисных помещений объекты недвижимого имущества: не соответствующие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 по назначению, отличному от назначения, указанного в документах Единого государственного регистра недвижимого имущества, прав на него и сделок с ним, если при этом не нарушаются права и законные интересы граждан и других субъектов хозяйствования. При этом 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Беларусь;</w:t>
      </w:r>
      <w:r w:rsidR="000D6BF1">
        <w:rPr>
          <w:rFonts w:ascii="Arial" w:hAnsi="Arial" w:cs="Arial"/>
          <w:color w:val="171717"/>
          <w:sz w:val="27"/>
          <w:szCs w:val="27"/>
        </w:rPr>
        <w:br/>
      </w:r>
    </w:p>
    <w:sectPr w:rsidR="00E078F6" w:rsidSect="00D8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6BF1"/>
    <w:rsid w:val="000D6BF1"/>
    <w:rsid w:val="007C3D09"/>
    <w:rsid w:val="0093793E"/>
    <w:rsid w:val="009B5CEF"/>
    <w:rsid w:val="00D8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6BF1"/>
  </w:style>
  <w:style w:type="character" w:styleId="a3">
    <w:name w:val="Hyperlink"/>
    <w:basedOn w:val="a0"/>
    <w:uiPriority w:val="99"/>
    <w:semiHidden/>
    <w:unhideWhenUsed/>
    <w:rsid w:val="000D6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Admininstrator</dc:creator>
  <cp:keywords/>
  <dc:description/>
  <cp:lastModifiedBy>Admininstrator</cp:lastModifiedBy>
  <cp:revision>1</cp:revision>
  <dcterms:created xsi:type="dcterms:W3CDTF">2018-02-01T08:21:00Z</dcterms:created>
  <dcterms:modified xsi:type="dcterms:W3CDTF">2018-02-01T08:33:00Z</dcterms:modified>
</cp:coreProperties>
</file>