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30" w:rsidRDefault="00C60FA0" w:rsidP="002E7D1B">
      <w:pPr>
        <w:shd w:val="clear" w:color="auto" w:fill="FFFFFF"/>
        <w:spacing w:after="0" w:line="240" w:lineRule="auto"/>
        <w:ind w:right="-143"/>
        <w:jc w:val="center"/>
        <w:textAlignment w:val="baseline"/>
        <w:rPr>
          <w:rFonts w:ascii="Roboto" w:eastAsia="Times New Roman" w:hAnsi="Roboto" w:cs="Times New Roman"/>
          <w:color w:val="2F5496" w:themeColor="accent5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2682240"/>
            <wp:effectExtent l="0" t="0" r="0" b="3810"/>
            <wp:docPr id="2" name="Рисунок 2" descr="http://grodnonews.by/upload/medialibrary/33b/33be78d45b87ae1144b9b71193919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odnonews.by/upload/medialibrary/33b/33be78d45b87ae1144b9b711939194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A0" w:rsidRDefault="00C60FA0" w:rsidP="002E7D1B">
      <w:pPr>
        <w:shd w:val="clear" w:color="auto" w:fill="FFFFFF"/>
        <w:spacing w:after="0" w:line="240" w:lineRule="auto"/>
        <w:ind w:right="-143" w:firstLine="709"/>
        <w:jc w:val="center"/>
        <w:textAlignment w:val="baseline"/>
        <w:rPr>
          <w:rFonts w:ascii="Roboto" w:eastAsia="Times New Roman" w:hAnsi="Roboto" w:cs="Times New Roman"/>
          <w:color w:val="2F5496" w:themeColor="accent5" w:themeShade="BF"/>
          <w:sz w:val="24"/>
          <w:szCs w:val="24"/>
          <w:lang w:eastAsia="ru-RU"/>
        </w:rPr>
      </w:pPr>
    </w:p>
    <w:p w:rsidR="00C60FA0" w:rsidRPr="00BA6830" w:rsidRDefault="00C60FA0" w:rsidP="002E7D1B">
      <w:pPr>
        <w:shd w:val="clear" w:color="auto" w:fill="FFFFFF"/>
        <w:spacing w:after="0" w:line="240" w:lineRule="auto"/>
        <w:ind w:right="-143" w:firstLine="709"/>
        <w:jc w:val="center"/>
        <w:textAlignment w:val="baseline"/>
        <w:rPr>
          <w:rFonts w:ascii="Roboto" w:eastAsia="Times New Roman" w:hAnsi="Roboto" w:cs="Times New Roman"/>
          <w:color w:val="2F5496" w:themeColor="accent5" w:themeShade="BF"/>
          <w:sz w:val="24"/>
          <w:szCs w:val="24"/>
          <w:lang w:eastAsia="ru-RU"/>
        </w:rPr>
      </w:pPr>
    </w:p>
    <w:p w:rsidR="00A50E59" w:rsidRPr="002E7D1B" w:rsidRDefault="00A50E59" w:rsidP="002E7D1B">
      <w:pPr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D1B">
        <w:rPr>
          <w:rFonts w:ascii="Times New Roman" w:hAnsi="Times New Roman" w:cs="Times New Roman"/>
          <w:b/>
          <w:sz w:val="30"/>
          <w:szCs w:val="30"/>
        </w:rPr>
        <w:t>Реализация в Витебском районе</w:t>
      </w:r>
      <w:r w:rsidR="002E7D1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7D1B">
        <w:rPr>
          <w:rFonts w:ascii="Times New Roman" w:hAnsi="Times New Roman" w:cs="Times New Roman"/>
          <w:b/>
          <w:sz w:val="30"/>
          <w:szCs w:val="30"/>
        </w:rPr>
        <w:t>Государственной программы «Здоровье народа о демографическая безопасность Республики Беларусь</w:t>
      </w:r>
      <w:r w:rsidR="002E7D1B">
        <w:rPr>
          <w:rFonts w:ascii="Times New Roman" w:hAnsi="Times New Roman" w:cs="Times New Roman"/>
          <w:b/>
          <w:sz w:val="30"/>
          <w:szCs w:val="30"/>
        </w:rPr>
        <w:t>»</w:t>
      </w:r>
      <w:r w:rsidRPr="002E7D1B">
        <w:rPr>
          <w:rFonts w:ascii="Times New Roman" w:hAnsi="Times New Roman" w:cs="Times New Roman"/>
          <w:b/>
          <w:sz w:val="30"/>
          <w:szCs w:val="30"/>
        </w:rPr>
        <w:t xml:space="preserve"> на 2016-2020 годы</w:t>
      </w:r>
    </w:p>
    <w:p w:rsidR="0032076E" w:rsidRPr="00635EE8" w:rsidRDefault="0032076E" w:rsidP="002E7D1B">
      <w:pPr>
        <w:spacing w:after="420" w:line="240" w:lineRule="auto"/>
        <w:ind w:right="-143" w:firstLine="709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</w:pPr>
    </w:p>
    <w:p w:rsidR="00A50E59" w:rsidRPr="00635EE8" w:rsidRDefault="0032076E" w:rsidP="002E7D1B">
      <w:pPr>
        <w:pStyle w:val="newncpi"/>
        <w:shd w:val="clear" w:color="auto" w:fill="FFFFFF"/>
        <w:spacing w:before="0" w:beforeAutospacing="0" w:after="0" w:afterAutospacing="0"/>
        <w:ind w:right="-143" w:firstLine="709"/>
        <w:jc w:val="both"/>
        <w:rPr>
          <w:sz w:val="30"/>
          <w:szCs w:val="30"/>
        </w:rPr>
      </w:pPr>
      <w:r w:rsidRPr="00635EE8">
        <w:rPr>
          <w:sz w:val="30"/>
          <w:szCs w:val="30"/>
          <w:shd w:val="clear" w:color="auto" w:fill="FFFFFF"/>
        </w:rPr>
        <w:t xml:space="preserve">В настоящее время в Витебском районе </w:t>
      </w:r>
      <w:r w:rsidRPr="00635EE8">
        <w:rPr>
          <w:sz w:val="30"/>
          <w:szCs w:val="30"/>
        </w:rPr>
        <w:t xml:space="preserve">проживает более 37 тыс. человек, из них 10 тыс. граждан пожилого возраста, что составляет более четверти всей численности населения, </w:t>
      </w:r>
      <w:r w:rsidR="00F52D2F">
        <w:rPr>
          <w:sz w:val="30"/>
          <w:szCs w:val="30"/>
        </w:rPr>
        <w:t xml:space="preserve">более </w:t>
      </w:r>
      <w:r w:rsidR="00A50E59" w:rsidRPr="00635EE8">
        <w:rPr>
          <w:sz w:val="30"/>
          <w:szCs w:val="30"/>
        </w:rPr>
        <w:t xml:space="preserve">21 тыс. человек трудоспособного возраста, детей в возрасте до 18 лет – 6 тыс., </w:t>
      </w:r>
      <w:r w:rsidRPr="00635EE8">
        <w:rPr>
          <w:sz w:val="30"/>
          <w:szCs w:val="30"/>
        </w:rPr>
        <w:t>1386 инвалидов 1 и 2 группы</w:t>
      </w:r>
      <w:r w:rsidR="00A50E59" w:rsidRPr="00635EE8">
        <w:rPr>
          <w:sz w:val="30"/>
          <w:szCs w:val="30"/>
        </w:rPr>
        <w:t>,</w:t>
      </w:r>
      <w:r w:rsidRPr="00635EE8">
        <w:rPr>
          <w:sz w:val="30"/>
          <w:szCs w:val="30"/>
        </w:rPr>
        <w:t xml:space="preserve"> 111 детей-инвалидов в возрасте до 18 лет, </w:t>
      </w:r>
      <w:r w:rsidR="00A50E59" w:rsidRPr="00635EE8">
        <w:rPr>
          <w:sz w:val="30"/>
          <w:szCs w:val="30"/>
        </w:rPr>
        <w:t>384 многодетных семьи</w:t>
      </w:r>
      <w:r w:rsidRPr="00635EE8">
        <w:rPr>
          <w:sz w:val="30"/>
          <w:szCs w:val="30"/>
        </w:rPr>
        <w:t xml:space="preserve">. </w:t>
      </w:r>
    </w:p>
    <w:p w:rsidR="00A50E59" w:rsidRPr="00635EE8" w:rsidRDefault="00A50E59" w:rsidP="002E7D1B">
      <w:pPr>
        <w:pStyle w:val="newncpi"/>
        <w:shd w:val="clear" w:color="auto" w:fill="FFFFFF"/>
        <w:spacing w:before="0" w:beforeAutospacing="0" w:after="0" w:afterAutospacing="0"/>
        <w:ind w:right="-143" w:firstLine="709"/>
        <w:jc w:val="both"/>
        <w:rPr>
          <w:sz w:val="30"/>
          <w:szCs w:val="30"/>
        </w:rPr>
      </w:pPr>
      <w:r w:rsidRPr="00635EE8">
        <w:rPr>
          <w:sz w:val="30"/>
          <w:szCs w:val="30"/>
        </w:rPr>
        <w:t>Витебским районным исполнительным комитетом принято решение от 3 января 2018 г. № 3 «Об утверждении плана мероприятий по реализации Государственной программы «Здоровье народа и демографическая безопасность Республики Беларусь» на 2016-2020 годы по Витебскому району на 2018 год»</w:t>
      </w:r>
      <w:r w:rsidR="00B147DA" w:rsidRPr="00635EE8">
        <w:rPr>
          <w:sz w:val="30"/>
          <w:szCs w:val="30"/>
        </w:rPr>
        <w:t xml:space="preserve"> (далее – Государственная программа)</w:t>
      </w:r>
      <w:r w:rsidRPr="00635EE8">
        <w:rPr>
          <w:sz w:val="30"/>
          <w:szCs w:val="30"/>
        </w:rPr>
        <w:t>.</w:t>
      </w:r>
    </w:p>
    <w:p w:rsidR="00FC6B80" w:rsidRPr="00635EE8" w:rsidRDefault="00B147DA" w:rsidP="002E7D1B">
      <w:pPr>
        <w:spacing w:after="42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E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BA6830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лавные цели реализации Государственной программы: улучшение физического и репродуктивного здоровья населения; укрепление института семьи; повышение рождаемости; увеличение ожидаемой продолжительности жизни; стабилизация численности населения.</w:t>
      </w:r>
      <w:r w:rsidRPr="00635EE8">
        <w:rPr>
          <w:rFonts w:ascii="Times New Roman" w:hAnsi="Times New Roman" w:cs="Times New Roman"/>
          <w:sz w:val="30"/>
          <w:szCs w:val="30"/>
        </w:rPr>
        <w:t xml:space="preserve"> В Витебском районе данные мероприятия выполняются в рамках подпрограмм: </w:t>
      </w:r>
      <w:r w:rsidRPr="00BA683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«Семья и детство», «Профилактика и контроль неинфекционных заболеваний», «Предупреждение и преодоление пьянства и алкоголизма», «Туберкулёз», «Профилактика ВИЧ-инфекции», «Внешняя миграция</w:t>
      </w:r>
      <w:r w:rsidRPr="00635EE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="00FC6B80" w:rsidRPr="00635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Выполнение мероприятий Программы.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35EE8">
        <w:rPr>
          <w:rFonts w:ascii="Times New Roman" w:hAnsi="Times New Roman" w:cs="Times New Roman"/>
          <w:sz w:val="30"/>
          <w:szCs w:val="30"/>
          <w:u w:val="single"/>
        </w:rPr>
        <w:lastRenderedPageBreak/>
        <w:t>Подпрограмма «Семья и детство»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 районе развивается сотрудничество с религиозными организациями по просвещению граждан по направлениям духовно-нравственного и патриотического воспитания, привитию навыков здорового образа жизни, пропаганде семейных ценностей, участию общин в общественно-политической жизни района. Действуют книжные выставки, где представлены: православная литература, электронные диски, периодические издания. Духовному становлению личности, пробуждению чувства любви к ближнему содействовали развернутые книжные выставки, часы духовности, Дни православной книги: «Дорога к святыням», «К добру – через слово», «О боге, вере, доброте и любви», «Свет православной книги», «Светлый праздник Рождества», «Праздник праздников – Пасха» и др. Расширению религиозных знаний содействовали мероприятия, приуроченные к праздникам православного календаря: рождественские вечера «Тихая ночь Рождества», «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Ішла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Каляда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калядуючы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…», «Пасхальная мозаика», «Пасхальный благовест». Мероприятия проведены совместно с клубными учреждениями, музыкальными школами, представителями религиозных организаций. </w:t>
      </w:r>
    </w:p>
    <w:p w:rsidR="00FC6B80" w:rsidRPr="00635EE8" w:rsidRDefault="00FC6B80" w:rsidP="002E7D1B">
      <w:pPr>
        <w:spacing w:after="420" w:line="240" w:lineRule="auto"/>
        <w:ind w:right="-143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В рамках реализации Государственной программы в 2018 году на выполнение работ по обеспечению противопожарной безопасности домовладений многодетных семей </w:t>
      </w:r>
      <w:r w:rsidR="00F52D2F" w:rsidRPr="00635EE8">
        <w:rPr>
          <w:rFonts w:ascii="Times New Roman" w:hAnsi="Times New Roman" w:cs="Times New Roman"/>
          <w:sz w:val="30"/>
          <w:szCs w:val="30"/>
        </w:rPr>
        <w:t>освоено</w:t>
      </w:r>
      <w:r w:rsidR="00F52D2F" w:rsidRPr="00635EE8">
        <w:rPr>
          <w:rFonts w:ascii="Times New Roman" w:hAnsi="Times New Roman" w:cs="Times New Roman"/>
          <w:sz w:val="30"/>
          <w:szCs w:val="30"/>
        </w:rPr>
        <w:t xml:space="preserve"> </w:t>
      </w:r>
      <w:r w:rsidRPr="00635EE8">
        <w:rPr>
          <w:rFonts w:ascii="Times New Roman" w:hAnsi="Times New Roman" w:cs="Times New Roman"/>
          <w:sz w:val="30"/>
          <w:szCs w:val="30"/>
        </w:rPr>
        <w:t xml:space="preserve">1303,00 рублей. Установлено 23 автономных пожарных извещателя с выводом на сигнальное устройство. </w:t>
      </w:r>
    </w:p>
    <w:p w:rsidR="00B147DA" w:rsidRPr="00635EE8" w:rsidRDefault="009E31CD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147DA" w:rsidRPr="00635EE8">
        <w:rPr>
          <w:rFonts w:ascii="Times New Roman" w:hAnsi="Times New Roman" w:cs="Times New Roman"/>
          <w:sz w:val="30"/>
          <w:szCs w:val="30"/>
        </w:rPr>
        <w:t>суще</w:t>
      </w:r>
      <w:r w:rsidR="00FC6B80" w:rsidRPr="00635EE8">
        <w:rPr>
          <w:rFonts w:ascii="Times New Roman" w:hAnsi="Times New Roman" w:cs="Times New Roman"/>
          <w:sz w:val="30"/>
          <w:szCs w:val="30"/>
        </w:rPr>
        <w:t>ствлена единовременная выплата 3 семьям (6</w:t>
      </w:r>
      <w:r w:rsidR="00B147DA" w:rsidRPr="00635EE8">
        <w:rPr>
          <w:rFonts w:ascii="Times New Roman" w:hAnsi="Times New Roman" w:cs="Times New Roman"/>
          <w:sz w:val="30"/>
          <w:szCs w:val="30"/>
        </w:rPr>
        <w:t xml:space="preserve"> детей) при рождении двоих и более детей на приобретение детских вещей первой необходимости на общую сумму </w:t>
      </w:r>
      <w:r w:rsidR="00FC6B80" w:rsidRPr="00635EE8">
        <w:rPr>
          <w:rFonts w:ascii="Times New Roman" w:hAnsi="Times New Roman" w:cs="Times New Roman"/>
          <w:sz w:val="30"/>
          <w:szCs w:val="30"/>
        </w:rPr>
        <w:t>2372,76</w:t>
      </w:r>
      <w:r w:rsidR="00B147DA" w:rsidRPr="00635EE8">
        <w:rPr>
          <w:rFonts w:ascii="Times New Roman" w:hAnsi="Times New Roman" w:cs="Times New Roman"/>
          <w:sz w:val="30"/>
          <w:szCs w:val="30"/>
        </w:rPr>
        <w:t xml:space="preserve"> руб</w:t>
      </w:r>
      <w:r w:rsidR="00F52D2F">
        <w:rPr>
          <w:rFonts w:ascii="Times New Roman" w:hAnsi="Times New Roman" w:cs="Times New Roman"/>
          <w:sz w:val="30"/>
          <w:szCs w:val="30"/>
        </w:rPr>
        <w:t>лей</w:t>
      </w:r>
      <w:r w:rsidR="00B147DA" w:rsidRPr="00635EE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6B80" w:rsidRPr="00635EE8" w:rsidRDefault="00B147DA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Семьям, воспитывающим троих и более детей, выплачена единовременная материальная помощь н</w:t>
      </w:r>
      <w:r w:rsidR="00FC6B80" w:rsidRPr="00635EE8">
        <w:rPr>
          <w:rFonts w:ascii="Times New Roman" w:hAnsi="Times New Roman" w:cs="Times New Roman"/>
          <w:sz w:val="30"/>
          <w:szCs w:val="30"/>
        </w:rPr>
        <w:t>а подготовку детей к новому 2018/2019</w:t>
      </w:r>
      <w:r w:rsidRPr="00635EE8">
        <w:rPr>
          <w:rFonts w:ascii="Times New Roman" w:hAnsi="Times New Roman" w:cs="Times New Roman"/>
          <w:sz w:val="30"/>
          <w:szCs w:val="30"/>
        </w:rPr>
        <w:t xml:space="preserve"> учебному году на каждого учащегося, обучающегося в учреждениях общего среднего и специального образования (на уровне общего среднего образования) </w:t>
      </w:r>
      <w:r w:rsidR="00FC6B80" w:rsidRPr="00635EE8">
        <w:rPr>
          <w:rFonts w:ascii="Times New Roman" w:hAnsi="Times New Roman" w:cs="Times New Roman"/>
          <w:sz w:val="30"/>
          <w:szCs w:val="30"/>
        </w:rPr>
        <w:t>выплачена единовременная материальная помощь на подготовку 653 детей на общую сумму 19590,00 рублей.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 учреждениях образования, культуры, здравоохранения, социальной защиты, торговых объектах, организациях и предприятиях района оформлены информационные стенды на тему «Здоровый образ жизни», «Ответственность родителей за своих детей» и другие.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lastRenderedPageBreak/>
        <w:t xml:space="preserve">В библиотеках учреждений образования периодически оформляются тематические выставки, направленные на популяризацию традиционных семейных ценностей и укрепление связей между поколениями. На сайтах учреждений образования и сайте отдела </w:t>
      </w:r>
      <w:r w:rsidR="00F52D2F">
        <w:rPr>
          <w:rFonts w:ascii="Times New Roman" w:hAnsi="Times New Roman" w:cs="Times New Roman"/>
          <w:sz w:val="30"/>
          <w:szCs w:val="30"/>
        </w:rPr>
        <w:t xml:space="preserve">по </w:t>
      </w:r>
      <w:r w:rsidRPr="00635EE8">
        <w:rPr>
          <w:rFonts w:ascii="Times New Roman" w:hAnsi="Times New Roman" w:cs="Times New Roman"/>
          <w:sz w:val="30"/>
          <w:szCs w:val="30"/>
        </w:rPr>
        <w:t>образовани</w:t>
      </w:r>
      <w:r w:rsidR="00F52D2F">
        <w:rPr>
          <w:rFonts w:ascii="Times New Roman" w:hAnsi="Times New Roman" w:cs="Times New Roman"/>
          <w:sz w:val="30"/>
          <w:szCs w:val="30"/>
        </w:rPr>
        <w:t>ю р</w:t>
      </w:r>
      <w:r w:rsidRPr="00635EE8">
        <w:rPr>
          <w:rFonts w:ascii="Times New Roman" w:hAnsi="Times New Roman" w:cs="Times New Roman"/>
          <w:sz w:val="30"/>
          <w:szCs w:val="30"/>
        </w:rPr>
        <w:t>айисполкома размещ</w:t>
      </w:r>
      <w:r w:rsidR="00F52D2F">
        <w:rPr>
          <w:rFonts w:ascii="Times New Roman" w:hAnsi="Times New Roman" w:cs="Times New Roman"/>
          <w:sz w:val="30"/>
          <w:szCs w:val="30"/>
        </w:rPr>
        <w:t>ена</w:t>
      </w:r>
      <w:r w:rsidRPr="00635EE8">
        <w:rPr>
          <w:rFonts w:ascii="Times New Roman" w:hAnsi="Times New Roman" w:cs="Times New Roman"/>
          <w:sz w:val="30"/>
          <w:szCs w:val="30"/>
        </w:rPr>
        <w:t xml:space="preserve"> информация по данной тематике.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5EE8">
        <w:rPr>
          <w:rFonts w:ascii="Times New Roman" w:hAnsi="Times New Roman" w:cs="Times New Roman"/>
          <w:sz w:val="30"/>
          <w:szCs w:val="30"/>
        </w:rPr>
        <w:t>В рамках единых дней информирования, выездных приемов, Дней Совета проводится разъяснительная работа на темы семьи и детства, ответственного родительства, равного участия родителей в воспитании детей, реализации государственной демографической политики.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 клубных учреждениях для молодых семей и с их участием проводятся культурно-массовые мероприятия различных форм: концерты, спортивные соревнования, конкурсные программы, дни семейного отдыха, современные гражданские и народные обряды, вечера семейного отдыха, праздники деревень, дворов, домов и улиц, культурно-спортивные праздники, концерты-поздравления и концерты-чествования на дому.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 районе прошла новогодняя благотворительная акция «Наши дети» для детей-сирот, и детей, оставшихся без попечения родителей, детей-инвалидов, детей из многодетных и малообеспеченных семей с участием представителей местной исполнительной власти, организаций и предприятий района.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  <w:u w:val="single"/>
        </w:rPr>
        <w:t>Подпрограмма «Профилактика и контроль неинфекционных заболеваний»</w:t>
      </w:r>
      <w:r w:rsidRPr="00635EE8">
        <w:rPr>
          <w:rFonts w:ascii="Times New Roman" w:hAnsi="Times New Roman" w:cs="Times New Roman"/>
          <w:sz w:val="30"/>
          <w:szCs w:val="30"/>
        </w:rPr>
        <w:t>: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35EE8">
        <w:rPr>
          <w:rFonts w:ascii="Times New Roman" w:hAnsi="Times New Roman" w:cs="Times New Roman"/>
          <w:sz w:val="30"/>
          <w:szCs w:val="30"/>
        </w:rPr>
        <w:t>С целью популяризации здорового образа жизни, самосохранительного поведения, профилактики заболеваний учреждениями здравоохранения в течение года пров</w:t>
      </w:r>
      <w:r w:rsidR="009E31CD">
        <w:rPr>
          <w:rFonts w:ascii="Times New Roman" w:hAnsi="Times New Roman" w:cs="Times New Roman"/>
          <w:sz w:val="30"/>
          <w:szCs w:val="30"/>
        </w:rPr>
        <w:t>едены</w:t>
      </w:r>
      <w:r w:rsidRPr="00635EE8">
        <w:rPr>
          <w:rFonts w:ascii="Times New Roman" w:hAnsi="Times New Roman" w:cs="Times New Roman"/>
          <w:sz w:val="30"/>
          <w:szCs w:val="30"/>
        </w:rPr>
        <w:t xml:space="preserve"> профилактические акции, дни и праздники здоровья, выступления в средствах массовой информации. 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Совместно с представителями образовательных и медицинских учреждений, правоохранительных органов </w:t>
      </w:r>
      <w:r w:rsidR="009E31CD"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организованы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культурно-развлекательные мероприятия познавательного, агитационно-просветительского характера, регулярно обновл</w:t>
      </w:r>
      <w:r w:rsidR="009E31CD">
        <w:rPr>
          <w:rFonts w:ascii="Times New Roman" w:hAnsi="Times New Roman" w:cs="Times New Roman"/>
          <w:sz w:val="30"/>
          <w:szCs w:val="30"/>
          <w:shd w:val="clear" w:color="auto" w:fill="FFFFFF"/>
        </w:rPr>
        <w:t>ена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стендовая информация по данной тематике. Проведены спортивно-оздоровительные и физкультурно-массовых мероприятия: соревнования, турниры, спортивные игровые программы, культурно-спортивные праздники.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35EE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клубных учреждениях действуют любительские объединения физкультурно-оздоровительного направления: «В здоровом теле 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здоровый дух», «Лотос», «Спорт и здоровье», «Здоровье - это здорово». В клубных учреждениях района прошли мероприятия, приуроченные к Всемирному Дню здоровья, культурно-спортивные праздники для детей и подростков «В здоровом теле – здоровый дух», «Веселые старты», «День здоровья»; спортивные соревнования «К здоровью через народные традиции», клубные встречи для пожилых людей «Секреты здоровья».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35EE8">
        <w:rPr>
          <w:rFonts w:ascii="Times New Roman" w:hAnsi="Times New Roman" w:cs="Times New Roman"/>
          <w:sz w:val="30"/>
          <w:szCs w:val="30"/>
          <w:lang w:val="be-BY"/>
        </w:rPr>
        <w:t>С целью пропаганды здорового образа жизни и профилактики вредных привычек среди несовершеннолетних в учреждениях образования проведены Недели здорового образа жизни, анкетирования школьников по проблемам формирования здорового образа жизни, организованы просмотры видеофильмов, кинолекториев,</w:t>
      </w:r>
      <w:r w:rsidRPr="00635EE8">
        <w:rPr>
          <w:rFonts w:ascii="Times New Roman" w:hAnsi="Times New Roman" w:cs="Times New Roman"/>
          <w:sz w:val="30"/>
          <w:szCs w:val="30"/>
        </w:rPr>
        <w:t xml:space="preserve"> «День здоровья», «День трезвости», выступления агитбригад «Молодежь за ЗОЖ», конкурс плакатов «Мир без наркотиков», «Нет – пьянству!», встречи с работниками Витебской районной организации «Белорусское общество Красного Креста», медицинских учреждений, просмотр и обсуждение фильмов по проблеме пьянства, алкоголизма, наркомании, токсикомании, тематические вечера, круглые столы «Лучше горькая правда…», конкурс презентаций «Алкоголь - враг подростков!», дискуссии «Шаг первый, шаг последний», 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 xml:space="preserve">конкурс плакатов </w:t>
      </w:r>
      <w:r w:rsidRPr="00635EE8">
        <w:rPr>
          <w:rFonts w:ascii="Times New Roman" w:hAnsi="Times New Roman" w:cs="Times New Roman"/>
          <w:sz w:val="30"/>
          <w:szCs w:val="30"/>
        </w:rPr>
        <w:t>«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>Молодежь за здоровый образ жизни</w:t>
      </w:r>
      <w:r w:rsidRPr="00635EE8">
        <w:rPr>
          <w:rFonts w:ascii="Times New Roman" w:hAnsi="Times New Roman" w:cs="Times New Roman"/>
          <w:sz w:val="30"/>
          <w:szCs w:val="30"/>
        </w:rPr>
        <w:t>»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 xml:space="preserve">, акция </w:t>
      </w:r>
      <w:r w:rsidRPr="00635EE8">
        <w:rPr>
          <w:rFonts w:ascii="Times New Roman" w:hAnsi="Times New Roman" w:cs="Times New Roman"/>
          <w:sz w:val="30"/>
          <w:szCs w:val="30"/>
        </w:rPr>
        <w:t>«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>Молодежь против алкоголя и наркотиков</w:t>
      </w:r>
      <w:r w:rsidRPr="00635EE8">
        <w:rPr>
          <w:rFonts w:ascii="Times New Roman" w:hAnsi="Times New Roman" w:cs="Times New Roman"/>
          <w:sz w:val="30"/>
          <w:szCs w:val="30"/>
        </w:rPr>
        <w:t>»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 xml:space="preserve">, уроки-диспуты </w:t>
      </w:r>
      <w:r w:rsidRPr="00635EE8">
        <w:rPr>
          <w:rFonts w:ascii="Times New Roman" w:hAnsi="Times New Roman" w:cs="Times New Roman"/>
          <w:sz w:val="30"/>
          <w:szCs w:val="30"/>
        </w:rPr>
        <w:t>«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>Как ты это понимаешь?</w:t>
      </w:r>
      <w:r w:rsidRPr="00635EE8">
        <w:rPr>
          <w:rFonts w:ascii="Times New Roman" w:hAnsi="Times New Roman" w:cs="Times New Roman"/>
          <w:sz w:val="30"/>
          <w:szCs w:val="30"/>
        </w:rPr>
        <w:t>»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635EE8">
        <w:rPr>
          <w:rFonts w:ascii="Times New Roman" w:hAnsi="Times New Roman" w:cs="Times New Roman"/>
          <w:sz w:val="30"/>
          <w:szCs w:val="30"/>
        </w:rPr>
        <w:t>«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>Судьба руководит человеком или человек ее хозяин?</w:t>
      </w:r>
      <w:r w:rsidRPr="00635EE8">
        <w:rPr>
          <w:rFonts w:ascii="Times New Roman" w:hAnsi="Times New Roman" w:cs="Times New Roman"/>
          <w:sz w:val="30"/>
          <w:szCs w:val="30"/>
        </w:rPr>
        <w:t>»</w:t>
      </w:r>
      <w:r w:rsidRPr="00635EE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2076E" w:rsidRPr="00635EE8" w:rsidRDefault="00FC6B80" w:rsidP="009E31CD">
      <w:pPr>
        <w:spacing w:after="420" w:line="240" w:lineRule="auto"/>
        <w:ind w:right="-143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 целях предупреждения пьянства и алкоголизма среди населения, употребления алкогольных и слабоалкогольных напитков среди учащихся и молодежи учреждениями образования организована работа по популяризации среди населения физической культуры, спорта и туризма, здорового образа жизни, по максимальному вовлечению в занятия спортом детей и подростков.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35EE8">
        <w:rPr>
          <w:rFonts w:ascii="Times New Roman" w:hAnsi="Times New Roman" w:cs="Times New Roman"/>
          <w:sz w:val="30"/>
          <w:szCs w:val="30"/>
          <w:u w:val="single"/>
        </w:rPr>
        <w:t>Подпрограмма «Предупреждение и преодоление пьянства и алкоголизма»: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В учреждениях образования, культуры, здравоохранения, торговых объектах, организациях и предприятиях района оформлены информационные стенды «Здоровый образ жизни», «Вредные привычки» размещены информационно-профилактические материалы по вопросам формирования здорового образа жизни и самосохранительного поведения. Регулярно разрабатываются и распространяются листовки, буклеты, брошюры по данной тематике.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lastRenderedPageBreak/>
        <w:t xml:space="preserve">Все мероприятия и акции, проводимые в районе </w:t>
      </w:r>
      <w:proofErr w:type="gramStart"/>
      <w:r w:rsidRPr="00635EE8">
        <w:rPr>
          <w:rFonts w:ascii="Times New Roman" w:hAnsi="Times New Roman" w:cs="Times New Roman"/>
          <w:sz w:val="30"/>
          <w:szCs w:val="30"/>
        </w:rPr>
        <w:t>широко</w:t>
      </w:r>
      <w:proofErr w:type="gramEnd"/>
      <w:r w:rsidRPr="00635EE8">
        <w:rPr>
          <w:rFonts w:ascii="Times New Roman" w:hAnsi="Times New Roman" w:cs="Times New Roman"/>
          <w:sz w:val="30"/>
          <w:szCs w:val="30"/>
        </w:rPr>
        <w:t xml:space="preserve"> освещаются в средствах массовой информации. На интернет-сайтах учреждений и организаций района постоянно размещается информационно-образовательный материал по профилактике пьянства, пропаганде здорового образа жизни.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В течение года во всех библиотеках </w:t>
      </w:r>
      <w:r w:rsidR="00F52D2F">
        <w:rPr>
          <w:rFonts w:ascii="Times New Roman" w:hAnsi="Times New Roman" w:cs="Times New Roman"/>
          <w:sz w:val="30"/>
          <w:szCs w:val="30"/>
        </w:rPr>
        <w:t>района</w:t>
      </w:r>
      <w:r w:rsidRPr="00635EE8">
        <w:rPr>
          <w:rFonts w:ascii="Times New Roman" w:hAnsi="Times New Roman" w:cs="Times New Roman"/>
          <w:sz w:val="30"/>
          <w:szCs w:val="30"/>
        </w:rPr>
        <w:t xml:space="preserve"> организованы книжные выставки: «Библиотека – за здоровье человека!», «Здоровье – забота общая», «Твори свое здоровье сам», «Если человек себе враг», «Умей сказать – Нет!», «О том, что волнует».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Профилактическая работа по предупреждению пьянства и алкоголизма проводится и сотрудниками организаций здравоохранения. Основную роль в информационном сопровождении вопросов предупреждения и преодоления пьянства и алкоголизма в средствах массовой информации (</w:t>
      </w:r>
      <w:r w:rsidR="00635EE8" w:rsidRPr="00635EE8">
        <w:rPr>
          <w:rFonts w:ascii="Times New Roman" w:hAnsi="Times New Roman" w:cs="Times New Roman"/>
          <w:sz w:val="30"/>
          <w:szCs w:val="30"/>
        </w:rPr>
        <w:t>телевидение</w:t>
      </w:r>
      <w:r w:rsidRPr="00635EE8">
        <w:rPr>
          <w:rFonts w:ascii="Times New Roman" w:hAnsi="Times New Roman" w:cs="Times New Roman"/>
          <w:sz w:val="30"/>
          <w:szCs w:val="30"/>
        </w:rPr>
        <w:t>, радио, печатные издания) выполняет учреждение здравоохранения «Витебский областной клинический центр психиатрии и наркологии».</w:t>
      </w:r>
    </w:p>
    <w:p w:rsidR="00FC6B80" w:rsidRPr="00635EE8" w:rsidRDefault="00FC6B80" w:rsidP="002E7D1B">
      <w:pPr>
        <w:tabs>
          <w:tab w:val="left" w:pos="940"/>
        </w:tabs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Организациями здравоохранения</w:t>
      </w:r>
      <w:r w:rsidR="009E31CD">
        <w:rPr>
          <w:rFonts w:ascii="Times New Roman" w:hAnsi="Times New Roman" w:cs="Times New Roman"/>
          <w:sz w:val="30"/>
          <w:szCs w:val="30"/>
        </w:rPr>
        <w:t>, обслуживающими население района,</w:t>
      </w:r>
      <w:r w:rsidRPr="00635EE8">
        <w:rPr>
          <w:rFonts w:ascii="Times New Roman" w:hAnsi="Times New Roman" w:cs="Times New Roman"/>
          <w:sz w:val="30"/>
          <w:szCs w:val="30"/>
        </w:rPr>
        <w:t xml:space="preserve"> при анализе причин складывающейся демографической ситуации уделяется внимание распространению и влиянию пьянства и алкоголизма, гибели от внешних причин (непосредственно отравление алкоголем, случайное утопление, гибель на пожарах, самоубийства, смерти, связанные с дорожно-транспортными происшествиями, значимая доля которых случается на фоне употребления алкоголя).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shd w:val="clear" w:color="auto" w:fill="FDFDFD"/>
        </w:rPr>
      </w:pPr>
      <w:r w:rsidRPr="00635EE8">
        <w:rPr>
          <w:rFonts w:ascii="Times New Roman" w:hAnsi="Times New Roman" w:cs="Times New Roman"/>
          <w:sz w:val="30"/>
          <w:szCs w:val="30"/>
        </w:rPr>
        <w:t>В районе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DFDFD"/>
        </w:rPr>
        <w:t xml:space="preserve"> регулярно проводятся специальные комплексные мероприятиях </w:t>
      </w:r>
      <w:r w:rsidRPr="00635EE8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DFDFD"/>
        </w:rPr>
        <w:t>«Внимание – возраст!»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DFDFD"/>
        </w:rPr>
        <w:t xml:space="preserve">, инициированные Министерством внутренних дел Республики Беларусь, проводимые отделом внутренних дел Витебского районного исполнительного комитета </w:t>
      </w:r>
      <w:r w:rsidR="00F52D2F">
        <w:rPr>
          <w:rFonts w:ascii="Times New Roman" w:hAnsi="Times New Roman" w:cs="Times New Roman"/>
          <w:sz w:val="30"/>
          <w:szCs w:val="30"/>
          <w:shd w:val="clear" w:color="auto" w:fill="FDFDFD"/>
        </w:rPr>
        <w:t xml:space="preserve">(далее – РОВД) </w:t>
      </w:r>
      <w:r w:rsidRPr="00635EE8">
        <w:rPr>
          <w:rFonts w:ascii="Times New Roman" w:hAnsi="Times New Roman" w:cs="Times New Roman"/>
          <w:sz w:val="30"/>
          <w:szCs w:val="30"/>
          <w:shd w:val="clear" w:color="auto" w:fill="FDFDFD"/>
        </w:rPr>
        <w:t xml:space="preserve">совместно с сотрудниками Витебского районного отдела по чрезвычайным ситуациям, представителями социальной защиты.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35EE8">
        <w:rPr>
          <w:rFonts w:ascii="Times New Roman" w:hAnsi="Times New Roman" w:cs="Times New Roman"/>
          <w:sz w:val="30"/>
          <w:szCs w:val="30"/>
          <w:u w:val="single"/>
        </w:rPr>
        <w:t>Подпрограмма «Туберкулез»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Организациями здравоохранения выполняется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скрининговое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рентгенфлюорографическое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обследование населения старше 18 лет, в том числе с использованием передвижной установки «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Пульмоскан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». При выявлении изменений со стороны органов грудной клетки обеспечивается проведение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дообследования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с последующим консультированием у врача- специалиста по профилю. Установление диагноза «туберкулез» </w:t>
      </w:r>
      <w:r w:rsidRPr="00635EE8">
        <w:rPr>
          <w:rFonts w:ascii="Times New Roman" w:hAnsi="Times New Roman" w:cs="Times New Roman"/>
          <w:sz w:val="30"/>
          <w:szCs w:val="30"/>
        </w:rPr>
        <w:lastRenderedPageBreak/>
        <w:t>осуществляется врачом-фтизиатром в учреждении здравоохранения «Витебский областной клинический противотуберкулезный диспансер» с последующей постановкой на учет, наблюдением и лечением. Участковая служба общесоматической сети может принимать участие в контролируемом лечении пациентов, страдающих туберкулезом, а также обеспечении продуктовыми наборами. Противоэпидемические мероприятия в очаге проводятся сотрудниками государственного учреждения «Витебский зональный центр гигиены и эпидемиологии». Координирующую роль в организации и оказании помощи пациентам фтизиатрического профиля выполняет учреждение здравоохранения «Витебский областной клинический противотуберкулезный диспансер».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>Вопросы профилактики и своевременного выявления туберкулеза широко освещаются при проведении мероприятий, приуроченных Всемирному дню борьбы с туберкулезом, а также при проведении Всемирного дня без табака, Дня профилактики алкоголизма, Дня профилактики онкологических заболеваний и др.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35EE8">
        <w:rPr>
          <w:rFonts w:ascii="Times New Roman" w:hAnsi="Times New Roman" w:cs="Times New Roman"/>
          <w:sz w:val="30"/>
          <w:szCs w:val="30"/>
          <w:u w:val="single"/>
        </w:rPr>
        <w:t>Подпрограмма «Профилактика ВИЧ-инфекции»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В учреждениях здравоохранения осуществляется только забор крови, как по показаниям, так и на добровольной основе с проведением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дотестового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консультирования. Лабораторная диагностика ВИЧ-инфекции осуществляется отделом профилактики СПИД государственного учреждения «Витебский областной центр гигиены, эпидемиологии и общественного здоровья».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Обследование населения с целью раннего выявления туберкулеза проводится в соответствии с требованиями приказа Министерства здравоохранения Республики Беларусь от 4 июля 2002 г. № 106 «О совершенствовании диспансерного наблюдения и выявления больных туберкулезом в Республике Беларусь. «Угрожаемые» контингенты группы социального риска (лица БОМЖ, освободившиеся из исправительно-трудовых учреждений, проживающие в ночлежках, страдающие хроническим алкоголизмом и наркоманией, беженцы, мигранты и др.) обследуются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рентгенофлюорографически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 не реже одного раза в год.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Проблемы ВИЧ/СПИД широко освещаются при подготовке и проведении ежегодных мероприятий, приуроченных Всемирному дню борьбы со СПИД, а также в рамках санитарно-просветительной работы по формированию здорового образа жизни, самосохранительного поведения, </w:t>
      </w:r>
      <w:r w:rsidRPr="00635EE8">
        <w:rPr>
          <w:rFonts w:ascii="Times New Roman" w:hAnsi="Times New Roman" w:cs="Times New Roman"/>
          <w:sz w:val="30"/>
          <w:szCs w:val="30"/>
        </w:rPr>
        <w:lastRenderedPageBreak/>
        <w:t>профилактики инфекций, передающихся половым путем, профилактики наркоманий и др.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В учреждениях образования района регулярно проводятся мероприятия, посвященные профилактике СПИДа. С целью реализации данной подпрограммы организовано обучение кадров, курирующих данное направление работы в учреждениях образования района: обучающие семинары, «круглые» столы, семинары-тренинги для классных руководителей, педагогов-организаторов, педагогов-психологов, педагогов социальных, заместителей директоров по воспитательной работе по темам «Здоровый образ жизни – залог успешного становления личности учащихся», «Пропаганда здорового образа жизни в условиях современного учреждения образования», «Педагогические технологии в организации профилактической работы в школе по проблеме ВИЧ/СПИД», «Профилактическая работа с семьями, оказавшимися в кризисной ситуации», «Организация </w:t>
      </w:r>
      <w:proofErr w:type="spellStart"/>
      <w:r w:rsidRPr="00635EE8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635EE8">
        <w:rPr>
          <w:rFonts w:ascii="Times New Roman" w:hAnsi="Times New Roman" w:cs="Times New Roman"/>
          <w:sz w:val="30"/>
          <w:szCs w:val="30"/>
        </w:rPr>
        <w:t xml:space="preserve">-профилактической работы в школе».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Вопросы проведения профилактической работы по ВИЧ/СПИД систематически рассматриваются на заседаниях районного методического объединения заместителей директоров по воспитательной работе. Ежегодно проводятся районные семинары для кураторов данного направления работы совместно с другими заинтересованными службами. </w:t>
      </w:r>
    </w:p>
    <w:p w:rsidR="00FC6B80" w:rsidRPr="00635EE8" w:rsidRDefault="00FC6B80" w:rsidP="002E7D1B">
      <w:pPr>
        <w:ind w:right="-143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35EE8">
        <w:rPr>
          <w:rFonts w:ascii="Times New Roman" w:hAnsi="Times New Roman" w:cs="Times New Roman"/>
          <w:sz w:val="30"/>
          <w:szCs w:val="30"/>
          <w:u w:val="single"/>
        </w:rPr>
        <w:t>Подпрограмма «Внешняя миграция»</w:t>
      </w:r>
    </w:p>
    <w:p w:rsidR="00FC6B80" w:rsidRPr="00635EE8" w:rsidRDefault="00FC6B80" w:rsidP="002E7D1B">
      <w:pPr>
        <w:suppressAutoHyphens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5EE8">
        <w:rPr>
          <w:rFonts w:ascii="Times New Roman" w:hAnsi="Times New Roman" w:cs="Times New Roman"/>
          <w:sz w:val="30"/>
          <w:szCs w:val="30"/>
        </w:rPr>
        <w:t xml:space="preserve">РОВД </w:t>
      </w:r>
      <w:r w:rsidR="00635EE8" w:rsidRPr="00635EE8">
        <w:rPr>
          <w:rFonts w:ascii="Times New Roman" w:hAnsi="Times New Roman" w:cs="Times New Roman"/>
          <w:sz w:val="30"/>
          <w:szCs w:val="30"/>
        </w:rPr>
        <w:t>п</w:t>
      </w:r>
      <w:r w:rsidRPr="00635EE8">
        <w:rPr>
          <w:rFonts w:ascii="Times New Roman" w:hAnsi="Times New Roman" w:cs="Times New Roman"/>
          <w:sz w:val="30"/>
          <w:szCs w:val="30"/>
        </w:rPr>
        <w:t>роводи</w:t>
      </w:r>
      <w:r w:rsidR="00635EE8" w:rsidRPr="00635EE8">
        <w:rPr>
          <w:rFonts w:ascii="Times New Roman" w:hAnsi="Times New Roman" w:cs="Times New Roman"/>
          <w:sz w:val="30"/>
          <w:szCs w:val="30"/>
        </w:rPr>
        <w:t>тся</w:t>
      </w:r>
      <w:r w:rsidRPr="00635EE8">
        <w:rPr>
          <w:rFonts w:ascii="Times New Roman" w:hAnsi="Times New Roman" w:cs="Times New Roman"/>
          <w:sz w:val="30"/>
          <w:szCs w:val="30"/>
        </w:rPr>
        <w:t xml:space="preserve"> работа по информированию населения о семейной политике в предполагаемой стране проживания после заключения брака, в том числе о правах супругов при расторжении брака, включая права на воспитание детей. Информация по данной тематике размещена в РОВД и управлении по труду, занятости и социальной защите райисполкома в доступном для посетителей местах. </w:t>
      </w:r>
    </w:p>
    <w:p w:rsidR="00FC6B80" w:rsidRPr="00635EE8" w:rsidRDefault="00FC6B80" w:rsidP="002E7D1B">
      <w:pPr>
        <w:spacing w:after="420" w:line="240" w:lineRule="auto"/>
        <w:ind w:right="-143" w:firstLine="709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</w:pPr>
    </w:p>
    <w:p w:rsidR="00635EE8" w:rsidRPr="009E31CD" w:rsidRDefault="002E7D1B" w:rsidP="009E31CD">
      <w:pPr>
        <w:shd w:val="clear" w:color="auto" w:fill="FFFFFF"/>
        <w:spacing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E31CD">
        <w:rPr>
          <w:rFonts w:ascii="Times New Roman" w:hAnsi="Times New Roman" w:cs="Times New Roman"/>
          <w:sz w:val="30"/>
          <w:szCs w:val="30"/>
        </w:rPr>
        <w:t>В рамках реализации Государственной программ</w:t>
      </w:r>
      <w:r w:rsidR="009E31CD">
        <w:rPr>
          <w:rFonts w:ascii="Times New Roman" w:hAnsi="Times New Roman" w:cs="Times New Roman"/>
          <w:sz w:val="30"/>
          <w:szCs w:val="30"/>
        </w:rPr>
        <w:t>ы</w:t>
      </w:r>
      <w:r w:rsidRPr="009E31CD">
        <w:rPr>
          <w:rFonts w:ascii="Times New Roman" w:hAnsi="Times New Roman" w:cs="Times New Roman"/>
          <w:sz w:val="30"/>
          <w:szCs w:val="30"/>
        </w:rPr>
        <w:t xml:space="preserve"> в целях укрепления духовно-нравственных основ семьи, возрождения и пропаганды семейных ценностей и традиций </w:t>
      </w:r>
      <w:r w:rsidRPr="009E31CD">
        <w:rPr>
          <w:rFonts w:ascii="Times New Roman" w:hAnsi="Times New Roman" w:cs="Times New Roman"/>
          <w:spacing w:val="4"/>
          <w:sz w:val="30"/>
          <w:szCs w:val="30"/>
        </w:rPr>
        <w:t>22 февраля 2019 г. в 12.00 в агрогородке Октябрьская на базе Октябрьского сельского дома культуры</w:t>
      </w:r>
      <w:r w:rsidRPr="009E31CD">
        <w:rPr>
          <w:rFonts w:ascii="Times New Roman" w:hAnsi="Times New Roman" w:cs="Times New Roman"/>
          <w:sz w:val="30"/>
          <w:szCs w:val="30"/>
        </w:rPr>
        <w:t xml:space="preserve"> состоится </w:t>
      </w:r>
      <w:r w:rsidRPr="009E31CD">
        <w:rPr>
          <w:rFonts w:ascii="Times New Roman" w:hAnsi="Times New Roman" w:cs="Times New Roman"/>
          <w:spacing w:val="4"/>
          <w:sz w:val="30"/>
          <w:szCs w:val="30"/>
        </w:rPr>
        <w:t xml:space="preserve">районный </w:t>
      </w:r>
      <w:r w:rsidRPr="009E31CD">
        <w:rPr>
          <w:rFonts w:ascii="Times New Roman" w:hAnsi="Times New Roman" w:cs="Times New Roman"/>
          <w:sz w:val="30"/>
          <w:szCs w:val="30"/>
        </w:rPr>
        <w:t>смотр-конкурс «Лучшая многодетная семья»</w:t>
      </w:r>
      <w:r w:rsidR="009E31CD">
        <w:rPr>
          <w:rFonts w:ascii="Times New Roman" w:hAnsi="Times New Roman" w:cs="Times New Roman"/>
          <w:sz w:val="30"/>
          <w:szCs w:val="30"/>
        </w:rPr>
        <w:t>.</w:t>
      </w:r>
      <w:r w:rsidRPr="009E31CD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2E7D1B" w:rsidRDefault="002E7D1B" w:rsidP="009E31CD">
      <w:pPr>
        <w:pStyle w:val="point"/>
        <w:ind w:right="-143" w:firstLine="709"/>
        <w:rPr>
          <w:sz w:val="30"/>
          <w:szCs w:val="30"/>
        </w:rPr>
      </w:pPr>
      <w:r w:rsidRPr="009E31CD">
        <w:rPr>
          <w:sz w:val="30"/>
          <w:szCs w:val="30"/>
        </w:rPr>
        <w:lastRenderedPageBreak/>
        <w:t>Цель смотра - конкурса – укрепление духовно-нравственных основ семьи, возрождение и пропаганда семейных ценностей и традиций.</w:t>
      </w:r>
    </w:p>
    <w:p w:rsidR="009E31CD" w:rsidRPr="009E31CD" w:rsidRDefault="009E31CD" w:rsidP="009E31CD">
      <w:pPr>
        <w:pStyle w:val="point"/>
        <w:ind w:right="-143" w:firstLine="709"/>
        <w:rPr>
          <w:sz w:val="30"/>
          <w:szCs w:val="30"/>
        </w:rPr>
      </w:pPr>
    </w:p>
    <w:p w:rsidR="002E7D1B" w:rsidRPr="009E31CD" w:rsidRDefault="002E7D1B" w:rsidP="009E31CD">
      <w:pPr>
        <w:pStyle w:val="point"/>
        <w:ind w:right="-143" w:firstLine="709"/>
        <w:rPr>
          <w:sz w:val="30"/>
          <w:szCs w:val="30"/>
        </w:rPr>
      </w:pPr>
      <w:r w:rsidRPr="009E31CD">
        <w:rPr>
          <w:sz w:val="30"/>
          <w:szCs w:val="30"/>
        </w:rPr>
        <w:t>Основными задачами смотра - конкурса являются:</w:t>
      </w:r>
    </w:p>
    <w:p w:rsidR="002E7D1B" w:rsidRPr="009E31CD" w:rsidRDefault="002E7D1B" w:rsidP="009E31CD">
      <w:pPr>
        <w:pStyle w:val="newncpi"/>
        <w:ind w:right="-143" w:firstLine="709"/>
        <w:jc w:val="both"/>
        <w:rPr>
          <w:sz w:val="30"/>
          <w:szCs w:val="30"/>
        </w:rPr>
      </w:pPr>
      <w:r w:rsidRPr="009E31CD">
        <w:rPr>
          <w:sz w:val="30"/>
          <w:szCs w:val="30"/>
        </w:rPr>
        <w:t>повышение роли и престижа семьи в жизни общества как ключевого фактора государственной демографической политики;</w:t>
      </w:r>
    </w:p>
    <w:p w:rsidR="002E7D1B" w:rsidRPr="009E31CD" w:rsidRDefault="002E7D1B" w:rsidP="009E31CD">
      <w:pPr>
        <w:pStyle w:val="newncpi"/>
        <w:ind w:right="-143" w:firstLine="709"/>
        <w:jc w:val="both"/>
        <w:rPr>
          <w:sz w:val="30"/>
          <w:szCs w:val="30"/>
        </w:rPr>
      </w:pPr>
      <w:r w:rsidRPr="009E31CD">
        <w:rPr>
          <w:sz w:val="30"/>
          <w:szCs w:val="30"/>
        </w:rPr>
        <w:t>сохранение духовно-нравственных ценностей семьи;</w:t>
      </w:r>
    </w:p>
    <w:p w:rsidR="002E7D1B" w:rsidRPr="009E31CD" w:rsidRDefault="002E7D1B" w:rsidP="009E31CD">
      <w:pPr>
        <w:pStyle w:val="newncpi"/>
        <w:ind w:right="-143" w:firstLine="709"/>
        <w:jc w:val="both"/>
        <w:rPr>
          <w:sz w:val="30"/>
          <w:szCs w:val="30"/>
        </w:rPr>
      </w:pPr>
      <w:r w:rsidRPr="009E31CD">
        <w:rPr>
          <w:sz w:val="30"/>
          <w:szCs w:val="30"/>
        </w:rPr>
        <w:t>продвижение в обществе идеи ответственного родительства;</w:t>
      </w:r>
    </w:p>
    <w:p w:rsidR="002E7D1B" w:rsidRPr="009E31CD" w:rsidRDefault="002E7D1B" w:rsidP="009E31CD">
      <w:pPr>
        <w:pStyle w:val="newncpi"/>
        <w:ind w:right="-143" w:firstLine="709"/>
        <w:jc w:val="both"/>
        <w:rPr>
          <w:sz w:val="30"/>
          <w:szCs w:val="30"/>
        </w:rPr>
      </w:pPr>
      <w:r w:rsidRPr="009E31CD">
        <w:rPr>
          <w:sz w:val="30"/>
          <w:szCs w:val="30"/>
        </w:rPr>
        <w:t>образование и воспитание детей и молодежи в системе традиционных семейных ценностей, ориентированных на стабильность отношений, рождение и воспитание детей, здоровый образ жизни, преемственность поколений, взаимопонимание и взаимоподдержку;</w:t>
      </w:r>
    </w:p>
    <w:p w:rsidR="002E7D1B" w:rsidRPr="009E31CD" w:rsidRDefault="002E7D1B" w:rsidP="009E31CD">
      <w:pPr>
        <w:pStyle w:val="newncpi"/>
        <w:ind w:right="-143" w:firstLine="709"/>
        <w:jc w:val="both"/>
        <w:rPr>
          <w:sz w:val="30"/>
          <w:szCs w:val="30"/>
        </w:rPr>
      </w:pPr>
      <w:r w:rsidRPr="009E31CD">
        <w:rPr>
          <w:sz w:val="30"/>
          <w:szCs w:val="30"/>
        </w:rPr>
        <w:t>привлечение внимания широкой общественности к семье как к важнейшему социальному институту.</w:t>
      </w:r>
    </w:p>
    <w:p w:rsidR="0032076E" w:rsidRPr="009E31CD" w:rsidRDefault="0032076E" w:rsidP="009E31CD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30"/>
          <w:szCs w:val="30"/>
          <w:lang w:eastAsia="ru-RU"/>
        </w:rPr>
      </w:pPr>
    </w:p>
    <w:sectPr w:rsidR="0032076E" w:rsidRPr="009E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1F"/>
    <w:rsid w:val="002E7D1B"/>
    <w:rsid w:val="0032076E"/>
    <w:rsid w:val="00502064"/>
    <w:rsid w:val="005247E2"/>
    <w:rsid w:val="00635EE8"/>
    <w:rsid w:val="006C2858"/>
    <w:rsid w:val="009E31CD"/>
    <w:rsid w:val="00A50E59"/>
    <w:rsid w:val="00B147DA"/>
    <w:rsid w:val="00BA6830"/>
    <w:rsid w:val="00C60FA0"/>
    <w:rsid w:val="00D70AAE"/>
    <w:rsid w:val="00F52D2F"/>
    <w:rsid w:val="00F9551F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5031-7BCB-4E35-918A-A6590893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7E2"/>
    <w:rPr>
      <w:b/>
      <w:bCs/>
    </w:rPr>
  </w:style>
  <w:style w:type="character" w:styleId="a5">
    <w:name w:val="Emphasis"/>
    <w:basedOn w:val="a0"/>
    <w:uiPriority w:val="20"/>
    <w:qFormat/>
    <w:rsid w:val="005247E2"/>
    <w:rPr>
      <w:i/>
      <w:iCs/>
    </w:rPr>
  </w:style>
  <w:style w:type="paragraph" w:customStyle="1" w:styleId="a6">
    <w:name w:val="Знак Знак Знак Знак Знак Знак Знак"/>
    <w:basedOn w:val="a"/>
    <w:rsid w:val="0032076E"/>
    <w:pPr>
      <w:spacing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newncpi">
    <w:name w:val="newncpi"/>
    <w:basedOn w:val="a"/>
    <w:rsid w:val="0032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C6B80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6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C6B80"/>
  </w:style>
  <w:style w:type="paragraph" w:customStyle="1" w:styleId="point">
    <w:name w:val="point"/>
    <w:basedOn w:val="a"/>
    <w:rsid w:val="002E7D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C916-B057-491C-9A7D-879DEBD7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2018-12-28T11:52:00Z</cp:lastPrinted>
  <dcterms:created xsi:type="dcterms:W3CDTF">2018-12-28T05:06:00Z</dcterms:created>
  <dcterms:modified xsi:type="dcterms:W3CDTF">2018-12-29T05:07:00Z</dcterms:modified>
</cp:coreProperties>
</file>